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D5593C" w:rsidRDefault="001521B7" w:rsidP="000607BA">
      <w:pPr>
        <w:spacing w:after="0" w:line="360" w:lineRule="auto"/>
        <w:jc w:val="both"/>
        <w:rPr>
          <w:rFonts w:ascii="Palatino Linotype" w:hAnsi="Palatino Linotype"/>
          <w:b/>
        </w:rPr>
      </w:pPr>
      <w:r w:rsidRPr="00D5593C">
        <w:rPr>
          <w:rFonts w:ascii="Palatino Linotype" w:hAnsi="Palatino Linotype"/>
          <w:b/>
        </w:rPr>
        <w:t>VOTO PARTICULAR QUE FORMULA</w:t>
      </w:r>
      <w:r w:rsidR="00E203E1" w:rsidRPr="00D5593C">
        <w:rPr>
          <w:rFonts w:ascii="Palatino Linotype" w:hAnsi="Palatino Linotype"/>
          <w:b/>
        </w:rPr>
        <w:t xml:space="preserve"> </w:t>
      </w:r>
      <w:r w:rsidRPr="00D5593C">
        <w:rPr>
          <w:rFonts w:ascii="Palatino Linotype" w:hAnsi="Palatino Linotype"/>
          <w:b/>
        </w:rPr>
        <w:t>EL C</w:t>
      </w:r>
      <w:r w:rsidR="00E203E1" w:rsidRPr="00D5593C">
        <w:rPr>
          <w:rFonts w:ascii="Palatino Linotype" w:hAnsi="Palatino Linotype"/>
          <w:b/>
        </w:rPr>
        <w:t>OMISIONADO JAVIER MARTÍNEZ CRUZ</w:t>
      </w:r>
      <w:r w:rsidRPr="00D5593C">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E203E1" w:rsidRPr="00D5593C">
        <w:rPr>
          <w:rFonts w:ascii="Palatino Linotype" w:hAnsi="Palatino Linotype"/>
          <w:b/>
        </w:rPr>
        <w:t xml:space="preserve">OCTAVA </w:t>
      </w:r>
      <w:r w:rsidR="00AE35F2" w:rsidRPr="00D5593C">
        <w:rPr>
          <w:rFonts w:ascii="Palatino Linotype" w:hAnsi="Palatino Linotype"/>
          <w:b/>
        </w:rPr>
        <w:t xml:space="preserve">SESIÓN </w:t>
      </w:r>
      <w:r w:rsidRPr="00D5593C">
        <w:rPr>
          <w:rFonts w:ascii="Palatino Linotype" w:hAnsi="Palatino Linotype"/>
          <w:b/>
        </w:rPr>
        <w:t xml:space="preserve">ORDINARIA DEL </w:t>
      </w:r>
      <w:r w:rsidR="003A25DC" w:rsidRPr="00D5593C">
        <w:rPr>
          <w:rFonts w:ascii="Palatino Linotype" w:hAnsi="Palatino Linotype"/>
          <w:b/>
        </w:rPr>
        <w:t xml:space="preserve">DÍA </w:t>
      </w:r>
      <w:r w:rsidR="00E203E1" w:rsidRPr="00D5593C">
        <w:rPr>
          <w:rFonts w:ascii="Palatino Linotype" w:hAnsi="Palatino Linotype"/>
          <w:b/>
        </w:rPr>
        <w:t xml:space="preserve">VEINTISIETE </w:t>
      </w:r>
      <w:r w:rsidR="00020595" w:rsidRPr="00D5593C">
        <w:rPr>
          <w:rFonts w:ascii="Palatino Linotype" w:hAnsi="Palatino Linotype"/>
          <w:b/>
        </w:rPr>
        <w:t xml:space="preserve">DE </w:t>
      </w:r>
      <w:r w:rsidR="00E203E1" w:rsidRPr="00D5593C">
        <w:rPr>
          <w:rFonts w:ascii="Palatino Linotype" w:hAnsi="Palatino Linotype"/>
          <w:b/>
        </w:rPr>
        <w:t xml:space="preserve">FEBRERO </w:t>
      </w:r>
      <w:r w:rsidRPr="00D5593C">
        <w:rPr>
          <w:rFonts w:ascii="Palatino Linotype" w:hAnsi="Palatino Linotype"/>
          <w:b/>
        </w:rPr>
        <w:t>DE DOS MIL DIECI</w:t>
      </w:r>
      <w:r w:rsidR="00E203E1" w:rsidRPr="00D5593C">
        <w:rPr>
          <w:rFonts w:ascii="Palatino Linotype" w:hAnsi="Palatino Linotype"/>
          <w:b/>
        </w:rPr>
        <w:t>NUEVE</w:t>
      </w:r>
      <w:r w:rsidRPr="00D5593C">
        <w:rPr>
          <w:rFonts w:ascii="Palatino Linotype" w:hAnsi="Palatino Linotype"/>
          <w:b/>
        </w:rPr>
        <w:t>, EN EL RECURSO DE REVISIÓN 0</w:t>
      </w:r>
      <w:r w:rsidR="00E203E1" w:rsidRPr="00D5593C">
        <w:rPr>
          <w:rFonts w:ascii="Palatino Linotype" w:hAnsi="Palatino Linotype"/>
          <w:b/>
        </w:rPr>
        <w:t>4731</w:t>
      </w:r>
      <w:r w:rsidR="00143624" w:rsidRPr="00D5593C">
        <w:rPr>
          <w:rFonts w:ascii="Palatino Linotype" w:hAnsi="Palatino Linotype"/>
          <w:b/>
        </w:rPr>
        <w:t>/INFOEM/IP/RR/2018</w:t>
      </w:r>
      <w:r w:rsidR="00E203E1" w:rsidRPr="00D5593C">
        <w:rPr>
          <w:rFonts w:ascii="Palatino Linotype" w:hAnsi="Palatino Linotype"/>
          <w:b/>
        </w:rPr>
        <w:t xml:space="preserve"> Y 04732/INFOEM/IP/RR/2018 ACUMULADOS</w:t>
      </w:r>
      <w:r w:rsidRPr="00D5593C">
        <w:rPr>
          <w:rFonts w:ascii="Palatino Linotype" w:hAnsi="Palatino Linotype"/>
          <w:b/>
        </w:rPr>
        <w:t>.</w:t>
      </w:r>
    </w:p>
    <w:p w:rsidR="004B391C" w:rsidRPr="00D5593C" w:rsidRDefault="004B391C" w:rsidP="001521B7">
      <w:pPr>
        <w:spacing w:after="0" w:line="360" w:lineRule="auto"/>
        <w:jc w:val="both"/>
        <w:rPr>
          <w:rFonts w:ascii="Palatino Linotype" w:hAnsi="Palatino Linotype"/>
        </w:rPr>
      </w:pPr>
    </w:p>
    <w:p w:rsidR="001521B7" w:rsidRPr="00D5593C" w:rsidRDefault="00661C85" w:rsidP="001521B7">
      <w:pPr>
        <w:spacing w:after="0" w:line="360" w:lineRule="auto"/>
        <w:jc w:val="both"/>
        <w:rPr>
          <w:rFonts w:ascii="Palatino Linotype" w:hAnsi="Palatino Linotype"/>
        </w:rPr>
      </w:pPr>
      <w:r w:rsidRPr="00D5593C">
        <w:rPr>
          <w:rFonts w:ascii="Palatino Linotype" w:hAnsi="Palatino Linotype"/>
        </w:rPr>
        <w:t>Con fundamento en lo dispuesto por el artículo 14</w:t>
      </w:r>
      <w:r w:rsidR="002D3ACC" w:rsidRPr="00D5593C">
        <w:rPr>
          <w:rFonts w:ascii="Palatino Linotype" w:hAnsi="Palatino Linotype"/>
        </w:rPr>
        <w:t>, fracciones</w:t>
      </w:r>
      <w:r w:rsidRPr="00D5593C">
        <w:rPr>
          <w:rFonts w:ascii="Palatino Linotype" w:hAnsi="Palatino Linotype"/>
        </w:rPr>
        <w:t xml:space="preserve"> X y XI del Reglamento Interior del Instituto de Transparencia, Acceso a la Información Pública y Protección de Datos Personales del</w:t>
      </w:r>
      <w:r w:rsidR="00E203E1" w:rsidRPr="00D5593C">
        <w:rPr>
          <w:rFonts w:ascii="Palatino Linotype" w:hAnsi="Palatino Linotype"/>
        </w:rPr>
        <w:t xml:space="preserve"> Estado de México y Municipios, el </w:t>
      </w:r>
      <w:r w:rsidR="00CC2D22" w:rsidRPr="00D5593C">
        <w:rPr>
          <w:rFonts w:ascii="Palatino Linotype" w:hAnsi="Palatino Linotype"/>
        </w:rPr>
        <w:t>Comisionado Javier Martínez Cruz</w:t>
      </w:r>
      <w:r w:rsidR="00E203E1" w:rsidRPr="00D5593C">
        <w:rPr>
          <w:rFonts w:ascii="Palatino Linotype" w:hAnsi="Palatino Linotype"/>
        </w:rPr>
        <w:t xml:space="preserve"> e</w:t>
      </w:r>
      <w:r w:rsidR="00CC2D22" w:rsidRPr="00D5593C">
        <w:rPr>
          <w:rFonts w:ascii="Palatino Linotype" w:hAnsi="Palatino Linotype"/>
        </w:rPr>
        <w:t xml:space="preserve">mite VOTO PARTICULAR respecto a la resolución dictada en el recurso de revisión número </w:t>
      </w:r>
      <w:r w:rsidR="00143624" w:rsidRPr="00D5593C">
        <w:rPr>
          <w:rFonts w:ascii="Palatino Linotype" w:hAnsi="Palatino Linotype"/>
        </w:rPr>
        <w:t>0</w:t>
      </w:r>
      <w:r w:rsidR="00E203E1" w:rsidRPr="00D5593C">
        <w:rPr>
          <w:rFonts w:ascii="Palatino Linotype" w:hAnsi="Palatino Linotype"/>
        </w:rPr>
        <w:t>4731</w:t>
      </w:r>
      <w:r w:rsidR="00143624" w:rsidRPr="00D5593C">
        <w:rPr>
          <w:rFonts w:ascii="Palatino Linotype" w:hAnsi="Palatino Linotype"/>
        </w:rPr>
        <w:t>/</w:t>
      </w:r>
      <w:r w:rsidRPr="00D5593C">
        <w:rPr>
          <w:rFonts w:ascii="Palatino Linotype" w:hAnsi="Palatino Linotype"/>
        </w:rPr>
        <w:t>INFOEM/IP/RR/201</w:t>
      </w:r>
      <w:r w:rsidR="00143624" w:rsidRPr="00D5593C">
        <w:rPr>
          <w:rFonts w:ascii="Palatino Linotype" w:hAnsi="Palatino Linotype"/>
        </w:rPr>
        <w:t>8</w:t>
      </w:r>
      <w:r w:rsidR="00E203E1" w:rsidRPr="00D5593C">
        <w:rPr>
          <w:rFonts w:ascii="Palatino Linotype" w:hAnsi="Palatino Linotype"/>
        </w:rPr>
        <w:t xml:space="preserve"> y acumulado</w:t>
      </w:r>
      <w:r w:rsidRPr="00D5593C">
        <w:rPr>
          <w:rFonts w:ascii="Palatino Linotype" w:hAnsi="Palatino Linotype"/>
        </w:rPr>
        <w:t xml:space="preserve">, pronunciada por el Pleno de este Instituto ante el proyecto presentado por </w:t>
      </w:r>
      <w:r w:rsidR="00E203E1" w:rsidRPr="00D5593C">
        <w:rPr>
          <w:rFonts w:ascii="Palatino Linotype" w:hAnsi="Palatino Linotype"/>
        </w:rPr>
        <w:t xml:space="preserve">el </w:t>
      </w:r>
      <w:r w:rsidR="00143624" w:rsidRPr="00D5593C">
        <w:rPr>
          <w:rFonts w:ascii="Palatino Linotype" w:hAnsi="Palatino Linotype"/>
        </w:rPr>
        <w:t>Comisionad</w:t>
      </w:r>
      <w:r w:rsidR="00E203E1" w:rsidRPr="00D5593C">
        <w:rPr>
          <w:rFonts w:ascii="Palatino Linotype" w:hAnsi="Palatino Linotype"/>
        </w:rPr>
        <w:t>o Luis Gustavo Parra Noriega</w:t>
      </w:r>
      <w:r w:rsidR="00AE35F2" w:rsidRPr="00D5593C">
        <w:rPr>
          <w:rFonts w:ascii="Palatino Linotype" w:hAnsi="Palatino Linotype"/>
        </w:rPr>
        <w:t xml:space="preserve">, </w:t>
      </w:r>
      <w:r w:rsidRPr="00D5593C">
        <w:rPr>
          <w:rFonts w:ascii="Palatino Linotype" w:hAnsi="Palatino Linotype"/>
        </w:rPr>
        <w:t xml:space="preserve">que es del tenor siguiente: </w:t>
      </w:r>
    </w:p>
    <w:p w:rsidR="001521B7" w:rsidRPr="00D5593C" w:rsidRDefault="001521B7" w:rsidP="0015034F">
      <w:pPr>
        <w:spacing w:after="0" w:line="240" w:lineRule="auto"/>
        <w:jc w:val="both"/>
        <w:rPr>
          <w:rFonts w:ascii="Palatino Linotype" w:hAnsi="Palatino Linotype"/>
        </w:rPr>
      </w:pPr>
    </w:p>
    <w:p w:rsidR="000714F2" w:rsidRPr="00D5593C" w:rsidRDefault="00314438" w:rsidP="000714F2">
      <w:pPr>
        <w:spacing w:before="120" w:after="120" w:line="360" w:lineRule="auto"/>
        <w:jc w:val="both"/>
        <w:rPr>
          <w:rFonts w:ascii="Palatino Linotype" w:hAnsi="Palatino Linotype" w:cs="Arial"/>
          <w:bCs/>
          <w:lang w:val="es-ES"/>
        </w:rPr>
      </w:pPr>
      <w:r w:rsidRPr="00D5593C">
        <w:rPr>
          <w:rFonts w:ascii="Palatino Linotype" w:hAnsi="Palatino Linotype"/>
        </w:rPr>
        <w:t xml:space="preserve">De manera previa a la emisión del presente voto, cabe precisar que la particular </w:t>
      </w:r>
      <w:r w:rsidRPr="00D5593C">
        <w:rPr>
          <w:rFonts w:ascii="Palatino Linotype" w:hAnsi="Palatino Linotype" w:cs="Arial"/>
          <w:bCs/>
          <w:lang w:val="es-ES"/>
        </w:rPr>
        <w:t>requirió al Sujeto Obligado “</w:t>
      </w:r>
      <w:r w:rsidR="000714F2" w:rsidRPr="00D5593C">
        <w:rPr>
          <w:rFonts w:ascii="Palatino Linotype" w:hAnsi="Palatino Linotype" w:cs="Arial"/>
          <w:bCs/>
          <w:lang w:val="es-ES"/>
        </w:rPr>
        <w:t>Ayuntamiento de San Felipe del Progreso</w:t>
      </w:r>
      <w:r w:rsidRPr="00D5593C">
        <w:rPr>
          <w:rFonts w:ascii="Palatino Linotype" w:hAnsi="Palatino Linotype" w:cs="Arial"/>
          <w:bCs/>
          <w:lang w:val="es-ES"/>
        </w:rPr>
        <w:t>”</w:t>
      </w:r>
      <w:r w:rsidR="000714F2" w:rsidRPr="00D5593C">
        <w:rPr>
          <w:rFonts w:ascii="Palatino Linotype" w:hAnsi="Palatino Linotype" w:cs="Arial"/>
          <w:bCs/>
          <w:lang w:val="es-ES"/>
        </w:rPr>
        <w:t>:</w:t>
      </w:r>
    </w:p>
    <w:p w:rsidR="000714F2" w:rsidRPr="00D5593C" w:rsidRDefault="000714F2" w:rsidP="000714F2">
      <w:pPr>
        <w:spacing w:before="120" w:after="120" w:line="360" w:lineRule="auto"/>
        <w:ind w:left="426" w:hanging="142"/>
        <w:jc w:val="both"/>
        <w:rPr>
          <w:rFonts w:ascii="Palatino Linotype" w:hAnsi="Palatino Linotype" w:cs="Arial"/>
          <w:bCs/>
          <w:lang w:val="es-ES"/>
        </w:rPr>
      </w:pPr>
      <w:r w:rsidRPr="00D5593C">
        <w:rPr>
          <w:rFonts w:ascii="Palatino Linotype" w:hAnsi="Palatino Linotype" w:cs="Arial"/>
          <w:bCs/>
          <w:lang w:val="es-ES"/>
        </w:rPr>
        <w:t xml:space="preserve">- Número de personas </w:t>
      </w:r>
      <w:proofErr w:type="spellStart"/>
      <w:r w:rsidRPr="00D5593C">
        <w:rPr>
          <w:rFonts w:ascii="Palatino Linotype" w:hAnsi="Palatino Linotype" w:cs="Arial"/>
          <w:bCs/>
          <w:lang w:val="es-ES"/>
        </w:rPr>
        <w:t>basificadas</w:t>
      </w:r>
      <w:proofErr w:type="spellEnd"/>
      <w:r w:rsidRPr="00D5593C">
        <w:rPr>
          <w:rFonts w:ascii="Palatino Linotype" w:hAnsi="Palatino Linotype" w:cs="Arial"/>
          <w:bCs/>
          <w:lang w:val="es-ES"/>
        </w:rPr>
        <w:t xml:space="preserve"> o sindicalizadas en el periodo 2016-noviembre de 2018, cargos y nombres de quienes fueron sindicalizados, municipio de origen de cada una de las personas sindicalizadas durante el mismo periodo.</w:t>
      </w:r>
    </w:p>
    <w:p w:rsidR="000714F2" w:rsidRPr="00D5593C" w:rsidRDefault="000714F2" w:rsidP="000714F2">
      <w:pPr>
        <w:spacing w:before="120" w:after="120" w:line="360" w:lineRule="auto"/>
        <w:ind w:left="426" w:hanging="142"/>
        <w:jc w:val="both"/>
        <w:rPr>
          <w:rFonts w:ascii="Palatino Linotype" w:hAnsi="Palatino Linotype" w:cs="Arial"/>
          <w:bCs/>
          <w:lang w:val="es-ES"/>
        </w:rPr>
      </w:pPr>
      <w:r w:rsidRPr="00D5593C">
        <w:rPr>
          <w:rFonts w:ascii="Palatino Linotype" w:hAnsi="Palatino Linotype" w:cs="Arial"/>
          <w:bCs/>
          <w:lang w:val="es-ES"/>
        </w:rPr>
        <w:t>- Número de empleados del H. Ayuntamiento del periodo 2016-2017 y los pagos que hizo el H. Ayuntamiento por concepto de ISR al Sistema de Administración Tributaria.</w:t>
      </w:r>
    </w:p>
    <w:p w:rsidR="00314438" w:rsidRPr="00D5593C" w:rsidRDefault="000714F2" w:rsidP="000714F2">
      <w:pPr>
        <w:spacing w:before="120" w:after="120" w:line="360" w:lineRule="auto"/>
        <w:ind w:left="426" w:hanging="142"/>
        <w:jc w:val="both"/>
        <w:rPr>
          <w:rFonts w:ascii="Palatino Linotype" w:hAnsi="Palatino Linotype" w:cs="Arial"/>
          <w:bCs/>
          <w:lang w:val="es-ES"/>
        </w:rPr>
      </w:pPr>
      <w:r w:rsidRPr="00D5593C">
        <w:rPr>
          <w:rFonts w:ascii="Palatino Linotype" w:hAnsi="Palatino Linotype" w:cs="Arial"/>
          <w:bCs/>
          <w:lang w:val="es-ES"/>
        </w:rPr>
        <w:lastRenderedPageBreak/>
        <w:t>- Copia del Convenio con el Sindicato de Trabajadores de los años 2016 y 2017</w:t>
      </w:r>
    </w:p>
    <w:p w:rsidR="00B63624" w:rsidRPr="00D5593C" w:rsidRDefault="00BA36B1" w:rsidP="00314438">
      <w:pPr>
        <w:spacing w:before="120" w:after="120" w:line="360" w:lineRule="auto"/>
        <w:jc w:val="both"/>
        <w:rPr>
          <w:rFonts w:ascii="Palatino Linotype" w:hAnsi="Palatino Linotype" w:cs="Arial"/>
          <w:bCs/>
          <w:lang w:val="es-ES"/>
        </w:rPr>
      </w:pPr>
      <w:r w:rsidRPr="00D5593C">
        <w:rPr>
          <w:rFonts w:ascii="Palatino Linotype" w:hAnsi="Palatino Linotype" w:cs="Arial"/>
          <w:bCs/>
          <w:lang w:val="es-ES"/>
        </w:rPr>
        <w:t>Así, de las constancias que obran en el SAIMEX</w:t>
      </w:r>
      <w:r w:rsidR="00B63624" w:rsidRPr="00D5593C">
        <w:rPr>
          <w:rFonts w:ascii="Palatino Linotype" w:hAnsi="Palatino Linotype" w:cs="Arial"/>
          <w:bCs/>
          <w:lang w:val="es-ES"/>
        </w:rPr>
        <w:t xml:space="preserve"> se advierte que </w:t>
      </w:r>
      <w:r w:rsidRPr="00D5593C">
        <w:rPr>
          <w:rFonts w:ascii="Palatino Linotype" w:hAnsi="Palatino Linotype" w:cs="Arial"/>
          <w:bCs/>
          <w:lang w:val="es-ES"/>
        </w:rPr>
        <w:t>e</w:t>
      </w:r>
      <w:r w:rsidR="00531DBB" w:rsidRPr="00D5593C">
        <w:rPr>
          <w:rFonts w:ascii="Palatino Linotype" w:hAnsi="Palatino Linotype" w:cs="Arial"/>
          <w:bCs/>
          <w:lang w:val="es-ES"/>
        </w:rPr>
        <w:t xml:space="preserve">l Sujeto Obligado </w:t>
      </w:r>
      <w:r w:rsidR="00B63624" w:rsidRPr="00D5593C">
        <w:rPr>
          <w:rFonts w:ascii="Palatino Linotype" w:hAnsi="Palatino Linotype" w:cs="Arial"/>
          <w:bCs/>
          <w:lang w:val="es-ES"/>
        </w:rPr>
        <w:t xml:space="preserve">fue omiso en otorgar respuesta a las solicitudes de información. </w:t>
      </w:r>
    </w:p>
    <w:p w:rsidR="00D75967" w:rsidRPr="00D5593C" w:rsidRDefault="00314438" w:rsidP="00D75967">
      <w:pPr>
        <w:tabs>
          <w:tab w:val="left" w:pos="709"/>
        </w:tabs>
        <w:spacing w:after="0" w:line="360" w:lineRule="auto"/>
        <w:jc w:val="both"/>
        <w:rPr>
          <w:rFonts w:ascii="Palatino Linotype" w:hAnsi="Palatino Linotype" w:cs="Arial"/>
        </w:rPr>
      </w:pPr>
      <w:r w:rsidRPr="00D5593C">
        <w:rPr>
          <w:rFonts w:ascii="Palatino Linotype" w:hAnsi="Palatino Linotype" w:cs="Arial"/>
          <w:color w:val="000000" w:themeColor="text1"/>
        </w:rPr>
        <w:t>Ante la</w:t>
      </w:r>
      <w:r w:rsidR="00B63624" w:rsidRPr="00D5593C">
        <w:rPr>
          <w:rFonts w:ascii="Palatino Linotype" w:hAnsi="Palatino Linotype" w:cs="Arial"/>
          <w:color w:val="000000" w:themeColor="text1"/>
        </w:rPr>
        <w:t xml:space="preserve"> falta de </w:t>
      </w:r>
      <w:r w:rsidRPr="00D5593C">
        <w:rPr>
          <w:rFonts w:ascii="Palatino Linotype" w:hAnsi="Palatino Linotype" w:cs="Arial"/>
          <w:color w:val="000000" w:themeColor="text1"/>
        </w:rPr>
        <w:t>respuesta,</w:t>
      </w:r>
      <w:r w:rsidR="002A5F7A" w:rsidRPr="00D5593C">
        <w:rPr>
          <w:rFonts w:ascii="Palatino Linotype" w:hAnsi="Palatino Linotype" w:cs="Arial"/>
          <w:color w:val="000000" w:themeColor="text1"/>
        </w:rPr>
        <w:t xml:space="preserve"> </w:t>
      </w:r>
      <w:r w:rsidR="00B63624" w:rsidRPr="00D5593C">
        <w:rPr>
          <w:rFonts w:ascii="Palatino Linotype" w:hAnsi="Palatino Linotype" w:cs="Arial"/>
          <w:color w:val="000000" w:themeColor="text1"/>
        </w:rPr>
        <w:t xml:space="preserve">el </w:t>
      </w:r>
      <w:r w:rsidRPr="00D5593C">
        <w:rPr>
          <w:rFonts w:ascii="Palatino Linotype" w:hAnsi="Palatino Linotype" w:cs="Arial"/>
          <w:color w:val="000000" w:themeColor="text1"/>
        </w:rPr>
        <w:t>Recurrente</w:t>
      </w:r>
      <w:r w:rsidR="00D75967" w:rsidRPr="00D5593C">
        <w:rPr>
          <w:rFonts w:ascii="Palatino Linotype" w:hAnsi="Palatino Linotype" w:cs="Arial"/>
          <w:color w:val="000000" w:themeColor="text1"/>
        </w:rPr>
        <w:t xml:space="preserve"> procedió a través de presente recurso de revisión, señalando s</w:t>
      </w:r>
      <w:r w:rsidR="00D75967" w:rsidRPr="00D5593C">
        <w:rPr>
          <w:rFonts w:ascii="Palatino Linotype" w:hAnsi="Palatino Linotype" w:cs="Arial"/>
        </w:rPr>
        <w:t xml:space="preserve">ustancialmente como motivo de inconformidad </w:t>
      </w:r>
      <w:r w:rsidR="00B63624" w:rsidRPr="00D5593C">
        <w:rPr>
          <w:rFonts w:ascii="Palatino Linotype" w:hAnsi="Palatino Linotype" w:cs="Arial"/>
        </w:rPr>
        <w:t>la falta de entrega de información reiteradamente por el Sujeto Obligado.</w:t>
      </w:r>
    </w:p>
    <w:p w:rsidR="000642D8" w:rsidRPr="00D5593C" w:rsidRDefault="00314438" w:rsidP="000642D8">
      <w:pPr>
        <w:spacing w:before="120" w:after="120" w:line="360" w:lineRule="auto"/>
        <w:jc w:val="both"/>
        <w:rPr>
          <w:rFonts w:ascii="Palatino Linotype" w:eastAsia="Calibri" w:hAnsi="Palatino Linotype" w:cs="Tahoma"/>
          <w:bCs/>
        </w:rPr>
      </w:pPr>
      <w:r w:rsidRPr="00D5593C">
        <w:rPr>
          <w:rFonts w:ascii="Palatino Linotype" w:hAnsi="Palatino Linotype" w:cs="Arial"/>
        </w:rPr>
        <w:t>Al respecto, el Sujeto Obligado rindió su</w:t>
      </w:r>
      <w:r w:rsidR="00652576" w:rsidRPr="00D5593C">
        <w:rPr>
          <w:rFonts w:ascii="Palatino Linotype" w:hAnsi="Palatino Linotype" w:cs="Arial"/>
        </w:rPr>
        <w:t xml:space="preserve">s respectivos </w:t>
      </w:r>
      <w:r w:rsidRPr="00D5593C">
        <w:rPr>
          <w:rFonts w:ascii="Palatino Linotype" w:hAnsi="Palatino Linotype" w:cs="Arial"/>
        </w:rPr>
        <w:t>informe</w:t>
      </w:r>
      <w:r w:rsidR="00652576" w:rsidRPr="00D5593C">
        <w:rPr>
          <w:rFonts w:ascii="Palatino Linotype" w:hAnsi="Palatino Linotype" w:cs="Arial"/>
        </w:rPr>
        <w:t>s</w:t>
      </w:r>
      <w:r w:rsidRPr="00D5593C">
        <w:rPr>
          <w:rFonts w:ascii="Palatino Linotype" w:hAnsi="Palatino Linotype" w:cs="Arial"/>
        </w:rPr>
        <w:t xml:space="preserve"> justificado</w:t>
      </w:r>
      <w:r w:rsidR="00652576" w:rsidRPr="00D5593C">
        <w:rPr>
          <w:rFonts w:ascii="Palatino Linotype" w:hAnsi="Palatino Linotype" w:cs="Arial"/>
        </w:rPr>
        <w:t>s</w:t>
      </w:r>
      <w:r w:rsidR="000642D8" w:rsidRPr="00D5593C">
        <w:rPr>
          <w:rFonts w:ascii="Palatino Linotype" w:hAnsi="Palatino Linotype" w:cs="Arial"/>
        </w:rPr>
        <w:t xml:space="preserve"> a través de los cuales respondió, de forma idéntica, que la información solicitada la genera el </w:t>
      </w:r>
      <w:r w:rsidR="000642D8" w:rsidRPr="00D5593C">
        <w:rPr>
          <w:rFonts w:ascii="Palatino Linotype" w:eastAsia="Times New Roman" w:hAnsi="Palatino Linotype" w:cs="Tahoma"/>
          <w:bCs/>
          <w:iCs/>
          <w:lang w:val="es-ES_tradnl" w:eastAsia="es-ES"/>
        </w:rPr>
        <w:t xml:space="preserve">Sindicato de Trabajadores del Estado de México y Municipios. Información que fue puesta a disposición del Recurrente </w:t>
      </w:r>
      <w:r w:rsidR="000642D8" w:rsidRPr="00D5593C">
        <w:rPr>
          <w:rFonts w:ascii="Palatino Linotype" w:eastAsia="Calibri" w:hAnsi="Palatino Linotype" w:cs="Tahoma"/>
          <w:bCs/>
        </w:rPr>
        <w:t>que en un término no mayor a tres días hábiles, contados a partir del día hábil siguiente a la notificación de las mismas, manifestara lo que a su derecho conviniera.</w:t>
      </w:r>
    </w:p>
    <w:p w:rsidR="00374C91" w:rsidRPr="00D5593C" w:rsidRDefault="00314438" w:rsidP="000642D8">
      <w:pPr>
        <w:spacing w:before="120" w:after="120" w:line="360" w:lineRule="auto"/>
        <w:jc w:val="both"/>
        <w:rPr>
          <w:rFonts w:ascii="Palatino Linotype" w:hAnsi="Palatino Linotype" w:cs="Arial"/>
          <w:lang w:val="es-ES_tradnl"/>
        </w:rPr>
      </w:pPr>
      <w:r w:rsidRPr="00D5593C">
        <w:rPr>
          <w:rFonts w:ascii="Palatino Linotype" w:hAnsi="Palatino Linotype" w:cs="Arial"/>
          <w:lang w:val="es-ES_tradnl"/>
        </w:rPr>
        <w:t xml:space="preserve">En ese tenor, la Ponencia resolutora </w:t>
      </w:r>
      <w:r w:rsidR="00374C91" w:rsidRPr="00D5593C">
        <w:rPr>
          <w:rFonts w:ascii="Palatino Linotype" w:hAnsi="Palatino Linotype" w:cs="Arial"/>
          <w:lang w:val="es-ES_tradnl"/>
        </w:rPr>
        <w:t xml:space="preserve">estableció la fuente obligacional de la información solicitada por el particular, por lo que determino ordenar la entrega de ésta, en versión pública, previa búsqueda exhaustiva. </w:t>
      </w:r>
    </w:p>
    <w:p w:rsidR="00D677F6" w:rsidRPr="00D5593C" w:rsidRDefault="00374C91" w:rsidP="000642D8">
      <w:pPr>
        <w:spacing w:before="120" w:after="120" w:line="360" w:lineRule="auto"/>
        <w:jc w:val="both"/>
        <w:rPr>
          <w:rFonts w:ascii="Palatino Linotype" w:hAnsi="Palatino Linotype" w:cs="Arial"/>
          <w:lang w:val="es-ES_tradnl"/>
        </w:rPr>
      </w:pPr>
      <w:r w:rsidRPr="00D5593C">
        <w:rPr>
          <w:rFonts w:ascii="Palatino Linotype" w:hAnsi="Palatino Linotype" w:cs="Arial"/>
          <w:lang w:val="es-ES_tradnl"/>
        </w:rPr>
        <w:t xml:space="preserve">Sin embargo, respecto a la información relacionada con el punto 1 del resolutivo SEGUNDO consistente en </w:t>
      </w:r>
      <w:r w:rsidRPr="00D5593C">
        <w:rPr>
          <w:rFonts w:ascii="Palatino Linotype" w:hAnsi="Palatino Linotype" w:cs="Arial"/>
          <w:i/>
          <w:lang w:val="es-ES_tradnl"/>
        </w:rPr>
        <w:t>“El o los documentos donde conste el número, nombre y cargo de servidores públicos adscritos al Ayuntamiento de San Felipe del Progreso que obtuvieron un trabajo de base y/o se sindicalizaron, del primero de enero de dos mil dieciséis al doce de enero de dos mil dieciocho, …”</w:t>
      </w:r>
      <w:r w:rsidRPr="00D5593C">
        <w:rPr>
          <w:rFonts w:ascii="Palatino Linotype" w:hAnsi="Palatino Linotype" w:cs="Arial"/>
          <w:lang w:val="es-ES_tradnl"/>
        </w:rPr>
        <w:t xml:space="preserve"> </w:t>
      </w:r>
      <w:r w:rsidR="009B4BAC" w:rsidRPr="00D5593C">
        <w:rPr>
          <w:rFonts w:ascii="Palatino Linotype" w:hAnsi="Palatino Linotype" w:cs="Arial"/>
          <w:lang w:val="es-ES_tradnl"/>
        </w:rPr>
        <w:t xml:space="preserve">, también ordenó la entrega del </w:t>
      </w:r>
      <w:r w:rsidR="009B4BAC" w:rsidRPr="00D5593C">
        <w:rPr>
          <w:rFonts w:ascii="Palatino Linotype" w:eastAsia="Calibri" w:hAnsi="Palatino Linotype" w:cs="Tahoma"/>
          <w:iCs/>
          <w:lang w:val="es-ES" w:eastAsia="es-ES_tradnl"/>
        </w:rPr>
        <w:t xml:space="preserve">acuerdo de clasificación confidencial emitido por el Comité de Transparencia, en donde de manera fundada y motivada, clasifique el municipio de origen de los servidores públicos sindicalizados. </w:t>
      </w:r>
    </w:p>
    <w:p w:rsidR="00AD24B7" w:rsidRPr="00D5593C" w:rsidRDefault="00AD24B7" w:rsidP="00314438">
      <w:pPr>
        <w:spacing w:before="240" w:after="240" w:line="360" w:lineRule="auto"/>
        <w:jc w:val="both"/>
        <w:rPr>
          <w:rFonts w:ascii="Palatino Linotype" w:eastAsia="Times New Roman" w:hAnsi="Palatino Linotype" w:cs="Arial"/>
          <w:lang w:val="es-ES" w:eastAsia="es-ES"/>
        </w:rPr>
      </w:pPr>
      <w:r w:rsidRPr="00D5593C">
        <w:rPr>
          <w:rFonts w:ascii="Palatino Linotype" w:hAnsi="Palatino Linotype" w:cs="Arial"/>
        </w:rPr>
        <w:lastRenderedPageBreak/>
        <w:t xml:space="preserve">Al respecto, </w:t>
      </w:r>
      <w:r w:rsidR="009B4BAC" w:rsidRPr="00D5593C">
        <w:rPr>
          <w:rFonts w:ascii="Palatino Linotype" w:hAnsi="Palatino Linotype" w:cs="Arial"/>
        </w:rPr>
        <w:t xml:space="preserve">el </w:t>
      </w:r>
      <w:r w:rsidRPr="00D5593C">
        <w:rPr>
          <w:rFonts w:ascii="Palatino Linotype" w:hAnsi="Palatino Linotype" w:cs="Arial"/>
        </w:rPr>
        <w:t>suscrito considera</w:t>
      </w:r>
      <w:r w:rsidR="009F2FF9" w:rsidRPr="00D5593C">
        <w:rPr>
          <w:rFonts w:ascii="Palatino Linotype" w:hAnsi="Palatino Linotype" w:cs="Arial"/>
        </w:rPr>
        <w:t xml:space="preserve">mos </w:t>
      </w:r>
      <w:r w:rsidRPr="00D5593C">
        <w:rPr>
          <w:rFonts w:ascii="Palatino Linotype" w:hAnsi="Palatino Linotype" w:cs="Arial"/>
        </w:rPr>
        <w:t xml:space="preserve">pertinente referir que a </w:t>
      </w:r>
      <w:r w:rsidRPr="00D5593C">
        <w:rPr>
          <w:rFonts w:ascii="Palatino Linotype" w:eastAsia="Times New Roman" w:hAnsi="Palatino Linotype" w:cs="Arial"/>
          <w:lang w:val="es-ES" w:eastAsia="es-ES"/>
        </w:rPr>
        <w:t>partir de la interpretación</w:t>
      </w:r>
      <w:r w:rsidRPr="00D5593C">
        <w:rPr>
          <w:rFonts w:ascii="Palatino Linotype" w:eastAsia="Times New Roman" w:hAnsi="Palatino Linotype" w:cs="Arial"/>
          <w:vertAlign w:val="superscript"/>
          <w:lang w:val="es-ES" w:eastAsia="es-ES"/>
        </w:rPr>
        <w:footnoteReference w:id="1"/>
      </w:r>
      <w:r w:rsidRPr="00D5593C">
        <w:rPr>
          <w:rFonts w:ascii="Palatino Linotype" w:eastAsia="Times New Roman" w:hAnsi="Palatino Linotype" w:cs="Arial"/>
          <w:lang w:val="es-ES" w:eastAsia="es-ES"/>
        </w:rPr>
        <w:t xml:space="preserve"> a los artículos 159 y 160 de la Ley General de Transparencia y Acceso a la Información Pública que</w:t>
      </w:r>
      <w:r w:rsidR="009F2FF9" w:rsidRPr="00D5593C">
        <w:rPr>
          <w:rFonts w:ascii="Palatino Linotype" w:eastAsia="Times New Roman" w:hAnsi="Palatino Linotype" w:cs="Arial"/>
          <w:lang w:val="es-ES" w:eastAsia="es-ES"/>
        </w:rPr>
        <w:t xml:space="preserve"> a la letra ordenan: </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b/>
          <w:i/>
          <w:lang w:val="es-ES" w:eastAsia="es-ES"/>
        </w:rPr>
        <w:t xml:space="preserve">“Artículo 159. </w:t>
      </w:r>
      <w:r w:rsidRPr="00D5593C">
        <w:rPr>
          <w:rFonts w:ascii="Palatino Linotype" w:eastAsia="Times New Roman" w:hAnsi="Palatino Linotype" w:cs="Arial"/>
          <w:i/>
          <w:lang w:val="es-ES" w:eastAsia="es-ES"/>
        </w:rPr>
        <w:t>Tratándose de las resoluciones a los recursos de revisión de los Organismos garantes de las Entidades Federativas, los particulares podrán optar por acudir ante el Instituto o ante el Poder Judicial de la Federación.”</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b/>
          <w:i/>
          <w:lang w:val="es-ES" w:eastAsia="es-ES"/>
        </w:rPr>
        <w:t>“Artículo 160.</w:t>
      </w:r>
      <w:r w:rsidRPr="00D5593C">
        <w:rPr>
          <w:rFonts w:ascii="Palatino Linotype" w:eastAsia="Times New Roman" w:hAnsi="Palatino Linotype" w:cs="Arial"/>
          <w:i/>
          <w:lang w:val="es-ES" w:eastAsia="es-ES"/>
        </w:rPr>
        <w:t xml:space="preserve"> El recurso de inconformidad procede contra las resoluciones emitidas por los Organismos garantes de las Entidades Federativas que:</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i/>
          <w:lang w:val="es-ES" w:eastAsia="es-ES"/>
        </w:rPr>
        <w:t xml:space="preserve">I. Confirmen o modifiquen la clasificación de la información, </w:t>
      </w: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D5593C" w:rsidRDefault="00AD24B7" w:rsidP="00AD24B7">
      <w:pPr>
        <w:spacing w:after="0" w:line="240" w:lineRule="auto"/>
        <w:ind w:left="851" w:right="990"/>
        <w:jc w:val="both"/>
        <w:rPr>
          <w:rFonts w:ascii="Palatino Linotype" w:eastAsia="Times New Roman" w:hAnsi="Palatino Linotype" w:cs="Arial"/>
          <w:i/>
          <w:lang w:val="es-ES" w:eastAsia="es-ES"/>
        </w:rPr>
      </w:pPr>
      <w:r w:rsidRPr="00D5593C">
        <w:rPr>
          <w:rFonts w:ascii="Palatino Linotype" w:eastAsia="Times New Roman" w:hAnsi="Palatino Linotype" w:cs="Arial"/>
          <w:i/>
          <w:lang w:val="es-ES" w:eastAsia="es-ES"/>
        </w:rPr>
        <w:t>…”</w:t>
      </w:r>
    </w:p>
    <w:p w:rsidR="00AD24B7" w:rsidRPr="00D5593C" w:rsidRDefault="009F2FF9" w:rsidP="00AD24B7">
      <w:pPr>
        <w:spacing w:before="24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Arial"/>
          <w:lang w:val="es-ES" w:eastAsia="es-ES"/>
        </w:rPr>
        <w:lastRenderedPageBreak/>
        <w:t>La P</w:t>
      </w:r>
      <w:r w:rsidR="00AD24B7" w:rsidRPr="00D5593C">
        <w:rPr>
          <w:rFonts w:ascii="Palatino Linotype" w:eastAsia="Times New Roman" w:hAnsi="Palatino Linotype" w:cs="Arial"/>
          <w:lang w:val="es-ES" w:eastAsia="es-ES"/>
        </w:rPr>
        <w:t xml:space="preserve">onencia resolutora debió </w:t>
      </w:r>
      <w:r w:rsidR="00AD24B7" w:rsidRPr="00D5593C">
        <w:rPr>
          <w:rFonts w:ascii="Palatino Linotype" w:eastAsia="Times New Roman" w:hAnsi="Palatino Linotype" w:cs="Times New Roman"/>
          <w:lang w:val="es-ES" w:eastAsia="es-ES"/>
        </w:rPr>
        <w:t>notificar a</w:t>
      </w:r>
      <w:r w:rsidRPr="00D5593C">
        <w:rPr>
          <w:rFonts w:ascii="Palatino Linotype" w:eastAsia="Times New Roman" w:hAnsi="Palatino Linotype" w:cs="Times New Roman"/>
          <w:lang w:val="es-ES" w:eastAsia="es-ES"/>
        </w:rPr>
        <w:t xml:space="preserve"> </w:t>
      </w:r>
      <w:r w:rsidR="00AD24B7" w:rsidRPr="00D5593C">
        <w:rPr>
          <w:rFonts w:ascii="Palatino Linotype" w:eastAsia="Times New Roman" w:hAnsi="Palatino Linotype" w:cs="Times New Roman"/>
          <w:lang w:val="es-ES" w:eastAsia="es-ES"/>
        </w:rPr>
        <w:t>l</w:t>
      </w:r>
      <w:r w:rsidRPr="00D5593C">
        <w:rPr>
          <w:rFonts w:ascii="Palatino Linotype" w:eastAsia="Times New Roman" w:hAnsi="Palatino Linotype" w:cs="Times New Roman"/>
          <w:lang w:val="es-ES" w:eastAsia="es-ES"/>
        </w:rPr>
        <w:t>a</w:t>
      </w:r>
      <w:r w:rsidR="00AD24B7" w:rsidRPr="00D5593C">
        <w:rPr>
          <w:rFonts w:ascii="Palatino Linotype" w:eastAsia="Times New Roman" w:hAnsi="Palatino Linotype" w:cs="Times New Roman"/>
          <w:lang w:val="es-ES" w:eastAsia="es-ES"/>
        </w:rPr>
        <w:t xml:space="preserve"> particular</w:t>
      </w:r>
      <w:r w:rsidRPr="00D5593C">
        <w:rPr>
          <w:rFonts w:ascii="Palatino Linotype" w:eastAsia="Times New Roman" w:hAnsi="Palatino Linotype" w:cs="Times New Roman"/>
          <w:lang w:val="es-ES" w:eastAsia="es-ES"/>
        </w:rPr>
        <w:t>,</w:t>
      </w:r>
      <w:r w:rsidR="00AD24B7" w:rsidRPr="00D5593C">
        <w:rPr>
          <w:rFonts w:ascii="Palatino Linotype" w:eastAsia="Times New Roman" w:hAnsi="Palatino Linotype" w:cs="Times New Roman"/>
          <w:lang w:val="es-ES" w:eastAsia="es-ES"/>
        </w:rPr>
        <w:t xml:space="preserve"> que podía acudir ante el Instituto Nacional de Transparencia, Acceso a la Información y Protección de Datos Personales (INAI) o ante el Poder Judicial de la Federación para interponer recurso de inconformidad, </w:t>
      </w:r>
      <w:r w:rsidR="00AD24B7" w:rsidRPr="00D5593C">
        <w:rPr>
          <w:rFonts w:ascii="Palatino Linotype" w:eastAsia="Times New Roman" w:hAnsi="Palatino Linotype" w:cs="Arial"/>
          <w:lang w:val="es-ES" w:eastAsia="es-ES"/>
        </w:rPr>
        <w:t xml:space="preserve">favoreciendo con ello lo previsto en el artículo </w:t>
      </w:r>
      <w:r w:rsidRPr="00D5593C">
        <w:rPr>
          <w:rFonts w:ascii="Palatino Linotype" w:eastAsia="Times New Roman" w:hAnsi="Palatino Linotype" w:cs="Arial"/>
          <w:lang w:val="es-ES" w:eastAsia="es-ES"/>
        </w:rPr>
        <w:t>“</w:t>
      </w:r>
      <w:r w:rsidR="00AD24B7" w:rsidRPr="00D5593C">
        <w:rPr>
          <w:rFonts w:ascii="Palatino Linotype" w:eastAsia="Times New Roman" w:hAnsi="Palatino Linotype" w:cs="Arial"/>
          <w:lang w:val="es-ES" w:eastAsia="es-ES"/>
        </w:rPr>
        <w:t>1</w:t>
      </w:r>
      <w:r w:rsidRPr="00D5593C">
        <w:rPr>
          <w:rFonts w:ascii="Palatino Linotype" w:eastAsia="Times New Roman" w:hAnsi="Palatino Linotype" w:cs="Arial"/>
          <w:lang w:val="es-ES" w:eastAsia="es-ES"/>
        </w:rPr>
        <w:t>”</w:t>
      </w:r>
      <w:r w:rsidR="00AD24B7" w:rsidRPr="00D5593C">
        <w:rPr>
          <w:rFonts w:ascii="Palatino Linotype" w:eastAsia="Times New Roman" w:hAnsi="Palatino Linotype" w:cs="Arial"/>
          <w:vertAlign w:val="superscript"/>
          <w:lang w:val="es-ES" w:eastAsia="es-ES"/>
        </w:rPr>
        <w:footnoteReference w:id="2"/>
      </w:r>
      <w:r w:rsidR="00AD24B7" w:rsidRPr="00D5593C">
        <w:rPr>
          <w:rFonts w:ascii="Palatino Linotype" w:eastAsia="Times New Roman" w:hAnsi="Palatino Linotype" w:cs="Arial"/>
          <w:lang w:val="es-ES" w:eastAsia="es-ES"/>
        </w:rPr>
        <w:t xml:space="preserve"> de la Constitución Política de los Estados Unidos Mexicanos.</w:t>
      </w:r>
    </w:p>
    <w:p w:rsidR="00AD24B7" w:rsidRPr="00D5593C" w:rsidRDefault="00AD24B7" w:rsidP="00AD24B7">
      <w:pPr>
        <w:spacing w:before="24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t>En este sentido y para abundar en el tema</w:t>
      </w:r>
      <w:r w:rsidR="00C05880" w:rsidRPr="00D5593C">
        <w:rPr>
          <w:rFonts w:ascii="Palatino Linotype" w:eastAsia="Times New Roman" w:hAnsi="Palatino Linotype" w:cs="Times New Roman"/>
          <w:lang w:val="es-ES" w:eastAsia="es-ES"/>
        </w:rPr>
        <w:t>,</w:t>
      </w:r>
      <w:r w:rsidRPr="00D5593C">
        <w:rPr>
          <w:rFonts w:ascii="Palatino Linotype" w:eastAsia="Times New Roman" w:hAnsi="Palatino Linotype" w:cs="Times New Roman"/>
          <w:lang w:val="es-ES" w:eastAsia="es-ES"/>
        </w:rPr>
        <w:t xml:space="preserve"> conviene precisar que los particulares podrán interponer recurso de inconformidad ante el INAI o ante el Poder Judicial de la Federación dentro de los quince días posteriores </w:t>
      </w:r>
      <w:r w:rsidR="006A2894" w:rsidRPr="00D5593C">
        <w:rPr>
          <w:rFonts w:ascii="Palatino Linotype" w:eastAsia="Times New Roman" w:hAnsi="Palatino Linotype" w:cs="Times New Roman"/>
          <w:lang w:val="es-ES" w:eastAsia="es-ES"/>
        </w:rPr>
        <w:t xml:space="preserve">en </w:t>
      </w:r>
      <w:r w:rsidRPr="00D5593C">
        <w:rPr>
          <w:rFonts w:ascii="Palatino Linotype" w:eastAsia="Times New Roman" w:hAnsi="Palatino Linotype" w:cs="Times New Roman"/>
          <w:lang w:val="es-ES" w:eastAsia="es-ES"/>
        </w:rPr>
        <w:t>que se tuvo conocimiento de la resolución</w:t>
      </w:r>
      <w:r w:rsidR="00CF0BAC" w:rsidRPr="00D5593C">
        <w:rPr>
          <w:rFonts w:ascii="Palatino Linotype" w:eastAsia="Times New Roman" w:hAnsi="Palatino Linotype" w:cs="Times New Roman"/>
          <w:lang w:val="es-ES" w:eastAsia="es-ES"/>
        </w:rPr>
        <w:t>.</w:t>
      </w:r>
    </w:p>
    <w:p w:rsidR="00AD24B7" w:rsidRPr="00D5593C" w:rsidRDefault="00AD24B7" w:rsidP="00AD24B7">
      <w:pPr>
        <w:spacing w:before="24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t xml:space="preserve">Cabe considerar, que también se podrá presentar por escrito ante este Instituto, instancia que a su vez tiene la obligación de remitirlo al día siguiente de su recepción al </w:t>
      </w:r>
      <w:r w:rsidR="00CF0BAC" w:rsidRPr="00D5593C">
        <w:rPr>
          <w:rFonts w:ascii="Palatino Linotype" w:eastAsia="Times New Roman" w:hAnsi="Palatino Linotype" w:cs="Times New Roman"/>
          <w:lang w:val="es-ES" w:eastAsia="es-ES"/>
        </w:rPr>
        <w:t>INAI</w:t>
      </w:r>
      <w:r w:rsidRPr="00D5593C">
        <w:rPr>
          <w:rFonts w:ascii="Palatino Linotype" w:eastAsia="Times New Roman" w:hAnsi="Palatino Linotype" w:cs="Times New Roman"/>
          <w:lang w:val="es-ES" w:eastAsia="es-ES"/>
        </w:rPr>
        <w:t>, acompañado de la resolución impugnada.</w:t>
      </w:r>
    </w:p>
    <w:p w:rsidR="00AD24B7" w:rsidRPr="00D5593C" w:rsidRDefault="00714A12" w:rsidP="00AD24B7">
      <w:pPr>
        <w:spacing w:before="240" w:after="12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t>Recurso de inconformidad</w:t>
      </w:r>
      <w:r w:rsidR="00AD24B7" w:rsidRPr="00D5593C">
        <w:rPr>
          <w:rFonts w:ascii="Palatino Linotype" w:eastAsia="Times New Roman" w:hAnsi="Palatino Linotype" w:cs="Times New Roman"/>
          <w:lang w:val="es-ES" w:eastAsia="es-ES"/>
        </w:rPr>
        <w:t xml:space="preserve"> que deberá contener lo dispuesto en el artículo 162 de la Ley General de referencia, que </w:t>
      </w:r>
      <w:r w:rsidRPr="00D5593C">
        <w:rPr>
          <w:rFonts w:ascii="Palatino Linotype" w:eastAsia="Times New Roman" w:hAnsi="Palatino Linotype" w:cs="Times New Roman"/>
          <w:lang w:val="es-ES" w:eastAsia="es-ES"/>
        </w:rPr>
        <w:t xml:space="preserve">dispone: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w:t>
      </w:r>
      <w:r w:rsidRPr="00D5593C">
        <w:rPr>
          <w:rFonts w:ascii="Palatino Linotype" w:eastAsia="Times New Roman" w:hAnsi="Palatino Linotype" w:cs="Times New Roman"/>
          <w:b/>
          <w:i/>
          <w:lang w:val="es-ES" w:eastAsia="es-ES"/>
        </w:rPr>
        <w:t>Artículo 162.</w:t>
      </w:r>
      <w:r w:rsidRPr="00D5593C">
        <w:rPr>
          <w:rFonts w:ascii="Palatino Linotype" w:eastAsia="Times New Roman" w:hAnsi="Palatino Linotype" w:cs="Times New Roman"/>
          <w:i/>
          <w:lang w:val="es-ES" w:eastAsia="es-ES"/>
        </w:rPr>
        <w:t xml:space="preserve"> El recurso de inconformidad deberá contener: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lastRenderedPageBreak/>
        <w:t xml:space="preserve">I. El sujeto obligado ante el cual se presentó la solicitud;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II. El número de la resolución del recurso de revisión de la resolución impugnada;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III. El organismo garante que emitió la resolución que se impugna;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IV. El nombre del inconforme y, en su caso, del tercero interesado, así como las correspondientes direcciones o medios para recibir notificaciones;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 La fecha en que fue notificada la resolución impugnada;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VI. El acto que se recurre;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VII. Las razones o motivos de la inconformidad, y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 xml:space="preserve">VIII. La copia de la resolución que se impugna y, en su caso, de la notificación correspondiente.  </w:t>
      </w:r>
    </w:p>
    <w:p w:rsidR="00AD24B7" w:rsidRPr="00D5593C"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D5593C">
        <w:rPr>
          <w:rFonts w:ascii="Palatino Linotype" w:eastAsia="Times New Roman" w:hAnsi="Palatino Linotype" w:cs="Times New Roman"/>
          <w:i/>
          <w:lang w:val="es-ES" w:eastAsia="es-ES"/>
        </w:rPr>
        <w:t>El recurrente podrá anexar las pruebas y demás elementos que considere procedentes someter a consideración del organismo garante.”</w:t>
      </w:r>
    </w:p>
    <w:p w:rsidR="00AD24B7" w:rsidRPr="00D5593C" w:rsidRDefault="00AD24B7" w:rsidP="00AD24B7">
      <w:pPr>
        <w:spacing w:after="0" w:line="276" w:lineRule="auto"/>
        <w:jc w:val="both"/>
        <w:rPr>
          <w:rFonts w:ascii="Palatino Linotype" w:eastAsia="Times New Roman" w:hAnsi="Palatino Linotype" w:cs="Times New Roman"/>
          <w:lang w:val="es-ES" w:eastAsia="es-ES"/>
        </w:rPr>
      </w:pPr>
    </w:p>
    <w:p w:rsidR="00AD24B7" w:rsidRPr="00D5593C" w:rsidRDefault="00C57674" w:rsidP="00AD24B7">
      <w:pPr>
        <w:spacing w:before="120" w:after="240" w:line="360" w:lineRule="auto"/>
        <w:jc w:val="both"/>
        <w:rPr>
          <w:rFonts w:ascii="Palatino Linotype" w:eastAsia="Times New Roman" w:hAnsi="Palatino Linotype" w:cs="Times New Roman"/>
          <w:lang w:val="es-ES" w:eastAsia="es-ES"/>
        </w:rPr>
      </w:pPr>
      <w:r w:rsidRPr="00D5593C">
        <w:rPr>
          <w:rFonts w:ascii="Palatino Linotype" w:eastAsia="Times New Roman" w:hAnsi="Palatino Linotype" w:cs="Times New Roman"/>
          <w:lang w:val="es-ES" w:eastAsia="es-ES"/>
        </w:rPr>
        <w:t xml:space="preserve">En ese tenor, se colige </w:t>
      </w:r>
      <w:r w:rsidR="00AD24B7" w:rsidRPr="00D5593C">
        <w:rPr>
          <w:rFonts w:ascii="Palatino Linotype" w:eastAsia="Times New Roman" w:hAnsi="Palatino Linotype" w:cs="Times New Roman"/>
          <w:lang w:val="es-ES" w:eastAsia="es-ES"/>
        </w:rPr>
        <w:t>que a fin de salvaguardar el derecho de acceso a la información de</w:t>
      </w:r>
      <w:r w:rsidR="00AC5E73" w:rsidRPr="00D5593C">
        <w:rPr>
          <w:rFonts w:ascii="Palatino Linotype" w:eastAsia="Times New Roman" w:hAnsi="Palatino Linotype" w:cs="Times New Roman"/>
          <w:lang w:val="es-ES" w:eastAsia="es-ES"/>
        </w:rPr>
        <w:t xml:space="preserve">l </w:t>
      </w:r>
      <w:r w:rsidR="00AD24B7" w:rsidRPr="00D5593C">
        <w:rPr>
          <w:rFonts w:ascii="Palatino Linotype" w:eastAsia="Times New Roman" w:hAnsi="Palatino Linotype" w:cs="Times New Roman"/>
          <w:lang w:val="es-ES" w:eastAsia="es-ES"/>
        </w:rPr>
        <w:t>particular, la Ponencia resolutora debió notificar mediante el resolutivo</w:t>
      </w:r>
      <w:r w:rsidRPr="00D5593C">
        <w:rPr>
          <w:rFonts w:ascii="Palatino Linotype" w:eastAsia="Times New Roman" w:hAnsi="Palatino Linotype" w:cs="Times New Roman"/>
          <w:color w:val="FF0000"/>
          <w:lang w:val="es-ES" w:eastAsia="es-ES"/>
        </w:rPr>
        <w:t xml:space="preserve"> </w:t>
      </w:r>
      <w:r w:rsidR="00AC5E73" w:rsidRPr="00D5593C">
        <w:rPr>
          <w:rFonts w:ascii="Palatino Linotype" w:eastAsia="Times New Roman" w:hAnsi="Palatino Linotype" w:cs="Times New Roman"/>
          <w:lang w:val="es-ES" w:eastAsia="es-ES"/>
        </w:rPr>
        <w:t>Cuarto</w:t>
      </w:r>
      <w:r w:rsidR="00225005" w:rsidRPr="00D5593C">
        <w:rPr>
          <w:rFonts w:ascii="Palatino Linotype" w:eastAsia="Times New Roman" w:hAnsi="Palatino Linotype" w:cs="Times New Roman"/>
          <w:lang w:val="es-ES" w:eastAsia="es-ES"/>
        </w:rPr>
        <w:t xml:space="preserve">, </w:t>
      </w:r>
      <w:r w:rsidRPr="00D5593C">
        <w:rPr>
          <w:rFonts w:ascii="Palatino Linotype" w:eastAsia="Times New Roman" w:hAnsi="Palatino Linotype" w:cs="Times New Roman"/>
          <w:lang w:val="es-ES" w:eastAsia="es-ES"/>
        </w:rPr>
        <w:t>q</w:t>
      </w:r>
      <w:r w:rsidR="00AD24B7" w:rsidRPr="00D5593C">
        <w:rPr>
          <w:rFonts w:ascii="Palatino Linotype" w:eastAsia="Times New Roman" w:hAnsi="Palatino Linotype" w:cs="Times New Roman"/>
          <w:lang w:val="es-ES" w:eastAsia="es-ES"/>
        </w:rPr>
        <w:t xml:space="preserve">ue </w:t>
      </w:r>
      <w:r w:rsidR="00B57FC7" w:rsidRPr="00D5593C">
        <w:rPr>
          <w:rFonts w:ascii="Palatino Linotype" w:eastAsia="Times New Roman" w:hAnsi="Palatino Linotype" w:cs="Times New Roman"/>
          <w:lang w:val="es-ES" w:eastAsia="es-ES"/>
        </w:rPr>
        <w:t xml:space="preserve">el </w:t>
      </w:r>
      <w:r w:rsidR="00AD24B7" w:rsidRPr="00D5593C">
        <w:rPr>
          <w:rFonts w:ascii="Palatino Linotype" w:eastAsia="Times New Roman" w:hAnsi="Palatino Linotype" w:cs="Times New Roman"/>
          <w:lang w:val="es-ES" w:eastAsia="es-ES"/>
        </w:rPr>
        <w:t xml:space="preserve">hoy Recurrente podía interponer recurso de inconformidad ante el Instituto Nacional de Transparencia, Acceso a la Información y </w:t>
      </w:r>
      <w:r w:rsidR="00A2363A" w:rsidRPr="00D5593C">
        <w:rPr>
          <w:rFonts w:ascii="Palatino Linotype" w:eastAsia="Times New Roman" w:hAnsi="Palatino Linotype" w:cs="Times New Roman"/>
          <w:lang w:val="es-ES" w:eastAsia="es-ES"/>
        </w:rPr>
        <w:t xml:space="preserve">Protección de Datos Personales </w:t>
      </w:r>
      <w:r w:rsidR="00AD24B7" w:rsidRPr="00D5593C">
        <w:rPr>
          <w:rFonts w:ascii="Palatino Linotype" w:eastAsia="Times New Roman" w:hAnsi="Palatino Linotype" w:cs="Times New Roman"/>
          <w:lang w:val="es-ES" w:eastAsia="es-ES"/>
        </w:rPr>
        <w:t>o ante el Poder Judicial de la Federación</w:t>
      </w:r>
      <w:r w:rsidRPr="00D5593C">
        <w:rPr>
          <w:rFonts w:ascii="Palatino Linotype" w:eastAsia="Times New Roman" w:hAnsi="Palatino Linotype" w:cs="Times New Roman"/>
          <w:lang w:val="es-ES" w:eastAsia="es-ES"/>
        </w:rPr>
        <w:t>,</w:t>
      </w:r>
      <w:r w:rsidR="00AD24B7" w:rsidRPr="00D5593C">
        <w:rPr>
          <w:rFonts w:ascii="Palatino Linotype" w:eastAsia="Times New Roman" w:hAnsi="Palatino Linotype" w:cs="Times New Roman"/>
          <w:lang w:val="es-ES" w:eastAsia="es-ES"/>
        </w:rPr>
        <w:t xml:space="preserve"> con </w:t>
      </w:r>
      <w:r w:rsidRPr="00D5593C">
        <w:rPr>
          <w:rFonts w:ascii="Palatino Linotype" w:eastAsia="Times New Roman" w:hAnsi="Palatino Linotype" w:cs="Times New Roman"/>
          <w:lang w:val="es-ES" w:eastAsia="es-ES"/>
        </w:rPr>
        <w:t>fundamento e</w:t>
      </w:r>
      <w:r w:rsidR="00AD24B7" w:rsidRPr="00D5593C">
        <w:rPr>
          <w:rFonts w:ascii="Palatino Linotype" w:eastAsia="Times New Roman" w:hAnsi="Palatino Linotype" w:cs="Times New Roman"/>
          <w:lang w:val="es-ES" w:eastAsia="es-ES"/>
        </w:rPr>
        <w:t xml:space="preserve">n </w:t>
      </w:r>
      <w:r w:rsidRPr="00D5593C">
        <w:rPr>
          <w:rFonts w:ascii="Palatino Linotype" w:eastAsia="Times New Roman" w:hAnsi="Palatino Linotype" w:cs="Times New Roman"/>
          <w:lang w:val="es-ES" w:eastAsia="es-ES"/>
        </w:rPr>
        <w:t xml:space="preserve">lo dispuesto por </w:t>
      </w:r>
      <w:r w:rsidR="00AD24B7" w:rsidRPr="00D5593C">
        <w:rPr>
          <w:rFonts w:ascii="Palatino Linotype" w:eastAsia="Times New Roman" w:hAnsi="Palatino Linotype" w:cs="Times New Roman"/>
          <w:lang w:val="es-ES" w:eastAsia="es-ES"/>
        </w:rPr>
        <w:t>los artículos 196 de la Ley de Transparencia y Acceso a la Información Pública del Estado de México de México y Municipios, 159 y 160 de la Ley General de Transparencia y Acceso a la Información Pública.</w:t>
      </w:r>
    </w:p>
    <w:p w:rsidR="00AD24B7" w:rsidRPr="00D5593C" w:rsidRDefault="00AD24B7" w:rsidP="00AD24B7">
      <w:pPr>
        <w:spacing w:line="360" w:lineRule="auto"/>
        <w:jc w:val="both"/>
        <w:rPr>
          <w:rFonts w:ascii="Palatino Linotype" w:hAnsi="Palatino Linotype"/>
          <w:b/>
        </w:rPr>
      </w:pPr>
      <w:r w:rsidRPr="00D5593C">
        <w:rPr>
          <w:rFonts w:ascii="Palatino Linotype" w:hAnsi="Palatino Linotype" w:cs="Arial"/>
        </w:rPr>
        <w:t>Consideraciones de hecho y derecho</w:t>
      </w:r>
      <w:r w:rsidR="006B53DC" w:rsidRPr="00D5593C">
        <w:rPr>
          <w:rFonts w:ascii="Palatino Linotype" w:hAnsi="Palatino Linotype" w:cs="Arial"/>
        </w:rPr>
        <w:t xml:space="preserve"> que constituyen </w:t>
      </w:r>
      <w:r w:rsidRPr="00D5593C">
        <w:rPr>
          <w:rFonts w:ascii="Palatino Linotype" w:hAnsi="Palatino Linotype"/>
        </w:rPr>
        <w:t xml:space="preserve">la emisión del presente Voto Particular, relacionado con la resolución del recurso de revisión referido. </w:t>
      </w:r>
    </w:p>
    <w:p w:rsidR="00335C19" w:rsidRPr="00D5593C" w:rsidRDefault="00C7542E" w:rsidP="00C7542E">
      <w:pPr>
        <w:spacing w:after="0" w:line="240" w:lineRule="auto"/>
        <w:rPr>
          <w:rFonts w:ascii="Palatino Linotype" w:hAnsi="Palatino Linotype"/>
          <w:b/>
        </w:rPr>
      </w:pPr>
      <w:r w:rsidRPr="00D5593C">
        <w:rPr>
          <w:rFonts w:ascii="Palatino Linotype" w:hAnsi="Palatino Linotype"/>
          <w:b/>
        </w:rPr>
        <w:t xml:space="preserve">             </w:t>
      </w:r>
      <w:r w:rsidR="00C976AC" w:rsidRPr="00D5593C">
        <w:rPr>
          <w:rFonts w:ascii="Palatino Linotype" w:hAnsi="Palatino Linotype"/>
          <w:b/>
        </w:rPr>
        <w:t xml:space="preserve">        </w:t>
      </w:r>
      <w:r w:rsidR="00335C19" w:rsidRPr="00D5593C">
        <w:rPr>
          <w:rFonts w:ascii="Palatino Linotype" w:hAnsi="Palatino Linotype"/>
          <w:b/>
        </w:rPr>
        <w:t xml:space="preserve">            </w:t>
      </w:r>
    </w:p>
    <w:p w:rsidR="00335C19" w:rsidRPr="00D5593C" w:rsidRDefault="00335C19" w:rsidP="00C7542E">
      <w:pPr>
        <w:spacing w:after="0" w:line="240" w:lineRule="auto"/>
        <w:rPr>
          <w:rFonts w:ascii="Palatino Linotype" w:hAnsi="Palatino Linotype"/>
          <w:b/>
        </w:rPr>
      </w:pPr>
    </w:p>
    <w:p w:rsidR="006060EE" w:rsidRPr="00D5593C" w:rsidRDefault="00C72D86" w:rsidP="00B57FC7">
      <w:pPr>
        <w:spacing w:after="0" w:line="240" w:lineRule="auto"/>
        <w:jc w:val="center"/>
        <w:rPr>
          <w:rFonts w:ascii="Palatino Linotype" w:hAnsi="Palatino Linotype"/>
          <w:b/>
        </w:rPr>
      </w:pPr>
      <w:r w:rsidRPr="00D5593C">
        <w:rPr>
          <w:rFonts w:ascii="Palatino Linotype" w:hAnsi="Palatino Linotype"/>
          <w:b/>
        </w:rPr>
        <w:t>Jav</w:t>
      </w:r>
      <w:r w:rsidR="00B57FC7" w:rsidRPr="00D5593C">
        <w:rPr>
          <w:rFonts w:ascii="Palatino Linotype" w:hAnsi="Palatino Linotype"/>
          <w:b/>
        </w:rPr>
        <w:t>ier Martínez Cruz</w:t>
      </w:r>
    </w:p>
    <w:p w:rsidR="00B57FC7" w:rsidRDefault="00B57FC7" w:rsidP="00B57FC7">
      <w:pPr>
        <w:spacing w:after="0" w:line="240" w:lineRule="auto"/>
        <w:jc w:val="center"/>
        <w:rPr>
          <w:rFonts w:ascii="Palatino Linotype" w:hAnsi="Palatino Linotype"/>
          <w:b/>
        </w:rPr>
      </w:pPr>
      <w:r w:rsidRPr="00D5593C">
        <w:rPr>
          <w:rFonts w:ascii="Palatino Linotype" w:hAnsi="Palatino Linotype"/>
          <w:b/>
        </w:rPr>
        <w:t xml:space="preserve">Comisionado </w:t>
      </w:r>
    </w:p>
    <w:p w:rsidR="006B3700" w:rsidRPr="006B3700" w:rsidRDefault="006B3700" w:rsidP="006B3700">
      <w:pPr>
        <w:jc w:val="center"/>
        <w:rPr>
          <w:rFonts w:ascii="Palatino Linotype" w:eastAsia="Calibri" w:hAnsi="Palatino Linotype" w:cs="Times New Roman"/>
        </w:rPr>
      </w:pPr>
      <w:r w:rsidRPr="006B3700">
        <w:rPr>
          <w:rFonts w:ascii="Palatino Linotype" w:eastAsia="Calibri" w:hAnsi="Palatino Linotype" w:cs="Times New Roman"/>
        </w:rPr>
        <w:t>(Rúbrica)</w:t>
      </w:r>
    </w:p>
    <w:p w:rsidR="006B3700" w:rsidRPr="00D5593C" w:rsidRDefault="006B3700" w:rsidP="00B57FC7">
      <w:pPr>
        <w:spacing w:after="0" w:line="240" w:lineRule="auto"/>
        <w:jc w:val="center"/>
        <w:rPr>
          <w:rFonts w:ascii="Palatino Linotype" w:hAnsi="Palatino Linotype"/>
          <w:b/>
        </w:rPr>
      </w:pPr>
      <w:bookmarkStart w:id="0" w:name="_GoBack"/>
      <w:bookmarkEnd w:id="0"/>
    </w:p>
    <w:sectPr w:rsidR="006B3700" w:rsidRPr="00D5593C" w:rsidSect="00DC32F9">
      <w:headerReference w:type="even" r:id="rId8"/>
      <w:headerReference w:type="default" r:id="rId9"/>
      <w:footerReference w:type="even" r:id="rId10"/>
      <w:footerReference w:type="default" r:id="rId11"/>
      <w:headerReference w:type="first" r:id="rId12"/>
      <w:footerReference w:type="first" r:id="rId13"/>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BC0" w:rsidRDefault="00076BC0" w:rsidP="00907451">
      <w:pPr>
        <w:spacing w:after="0" w:line="240" w:lineRule="auto"/>
      </w:pPr>
      <w:r>
        <w:separator/>
      </w:r>
    </w:p>
  </w:endnote>
  <w:endnote w:type="continuationSeparator" w:id="0">
    <w:p w:rsidR="00076BC0" w:rsidRDefault="00076BC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E34C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3700">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3700">
      <w:rPr>
        <w:rFonts w:ascii="Arial" w:hAnsi="Arial" w:cs="Arial"/>
        <w:b/>
        <w:bCs/>
        <w:noProof/>
        <w:sz w:val="20"/>
        <w:szCs w:val="20"/>
      </w:rPr>
      <w:t>5</w:t>
    </w:r>
    <w:r w:rsidRPr="00986599">
      <w:rPr>
        <w:rFonts w:ascii="Arial" w:hAnsi="Arial" w:cs="Arial"/>
        <w:b/>
        <w:bCs/>
        <w:sz w:val="20"/>
        <w:szCs w:val="20"/>
      </w:rPr>
      <w:fldChar w:fldCharType="end"/>
    </w:r>
  </w:p>
  <w:p w:rsidR="00D758BE" w:rsidRDefault="00076BC0"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E34C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BC0" w:rsidRDefault="00076BC0" w:rsidP="00907451">
      <w:pPr>
        <w:spacing w:after="0" w:line="240" w:lineRule="auto"/>
      </w:pPr>
      <w:r>
        <w:separator/>
      </w:r>
    </w:p>
  </w:footnote>
  <w:footnote w:type="continuationSeparator" w:id="0">
    <w:p w:rsidR="00076BC0" w:rsidRDefault="00076BC0" w:rsidP="00907451">
      <w:pPr>
        <w:spacing w:after="0" w:line="240" w:lineRule="auto"/>
      </w:pPr>
      <w:r>
        <w:continuationSeparator/>
      </w:r>
    </w:p>
  </w:footnote>
  <w:footnote w:id="1">
    <w:p w:rsidR="00AD24B7" w:rsidRPr="00747C5F" w:rsidRDefault="00AD24B7" w:rsidP="00AD24B7">
      <w:pPr>
        <w:pStyle w:val="Textonotapie"/>
        <w:jc w:val="both"/>
        <w:rPr>
          <w:rFonts w:ascii="Palatino Linotype" w:hAnsi="Palatino Linotype"/>
          <w:i/>
          <w:sz w:val="18"/>
          <w:szCs w:val="18"/>
        </w:rPr>
      </w:pPr>
      <w:r>
        <w:rPr>
          <w:rStyle w:val="Refdenotaalpie"/>
        </w:rPr>
        <w:footnoteRef/>
      </w:r>
      <w:r>
        <w:t xml:space="preserve"> </w:t>
      </w:r>
      <w:r w:rsidRPr="00747C5F">
        <w:rPr>
          <w:rFonts w:ascii="Palatino Linotype" w:hAnsi="Palatino Linotype"/>
          <w:i/>
          <w:sz w:val="18"/>
          <w:szCs w:val="18"/>
        </w:rPr>
        <w:t xml:space="preserve">Cfr. </w:t>
      </w:r>
      <w:r w:rsidRPr="00747C5F">
        <w:rPr>
          <w:rFonts w:ascii="Palatino Linotype" w:hAnsi="Palatino Linotype"/>
          <w:sz w:val="18"/>
          <w:szCs w:val="18"/>
        </w:rPr>
        <w:t xml:space="preserve">Tesis Aislada de la Décima Época P. II/2017 (10a.) </w:t>
      </w:r>
      <w:r w:rsidRPr="00747C5F">
        <w:rPr>
          <w:rFonts w:ascii="Palatino Linotype" w:hAnsi="Palatino Linotype"/>
          <w:i/>
          <w:sz w:val="18"/>
          <w:szCs w:val="18"/>
        </w:rPr>
        <w:t xml:space="preserve">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w:t>
      </w:r>
      <w:proofErr w:type="spellStart"/>
      <w:r w:rsidRPr="00747C5F">
        <w:rPr>
          <w:rFonts w:ascii="Palatino Linotype" w:hAnsi="Palatino Linotype"/>
          <w:i/>
          <w:sz w:val="18"/>
          <w:szCs w:val="18"/>
        </w:rPr>
        <w:t>inconvencional</w:t>
      </w:r>
      <w:proofErr w:type="spellEnd"/>
      <w:r w:rsidRPr="00747C5F">
        <w:rPr>
          <w:rFonts w:ascii="Palatino Linotype" w:hAnsi="Palatino Linotype"/>
          <w:i/>
          <w:sz w:val="18"/>
          <w:szCs w:val="18"/>
        </w:rPr>
        <w:t xml:space="preserve">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w:t>
      </w:r>
      <w:proofErr w:type="spellStart"/>
      <w:r w:rsidRPr="00747C5F">
        <w:rPr>
          <w:rFonts w:ascii="Palatino Linotype" w:hAnsi="Palatino Linotype"/>
          <w:i/>
          <w:sz w:val="18"/>
          <w:szCs w:val="18"/>
        </w:rPr>
        <w:t>inconvencionalidad</w:t>
      </w:r>
      <w:proofErr w:type="spellEnd"/>
      <w:r w:rsidRPr="00747C5F">
        <w:rPr>
          <w:rFonts w:ascii="Palatino Linotype" w:hAnsi="Palatino Linotype"/>
          <w:i/>
          <w:sz w:val="18"/>
          <w:szCs w:val="18"/>
        </w:rPr>
        <w:t>;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2">
    <w:p w:rsidR="00AD24B7" w:rsidRPr="00747C5F" w:rsidRDefault="00AD24B7" w:rsidP="00AD24B7">
      <w:pPr>
        <w:pStyle w:val="Textonotapie"/>
        <w:jc w:val="both"/>
        <w:rPr>
          <w:rFonts w:ascii="Palatino Linotype" w:hAnsi="Palatino Linotype"/>
          <w:i/>
          <w:sz w:val="18"/>
          <w:szCs w:val="18"/>
        </w:rPr>
      </w:pPr>
      <w:r w:rsidRPr="00747C5F">
        <w:rPr>
          <w:rStyle w:val="Refdenotaalpie"/>
          <w:sz w:val="18"/>
          <w:szCs w:val="18"/>
        </w:rPr>
        <w:footnoteRef/>
      </w:r>
      <w:r w:rsidRPr="00747C5F">
        <w:rPr>
          <w:sz w:val="18"/>
          <w:szCs w:val="18"/>
        </w:rPr>
        <w:t xml:space="preserve"> </w:t>
      </w:r>
      <w:r w:rsidRPr="00747C5F">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76B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4" o:spid="_x0000_s2054" type="#_x0000_t136" style="position:absolute;margin-left:0;margin-top:0;width:547.2pt;height:82.05pt;rotation:315;z-index:-25165465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057319">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076BC0"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5" o:spid="_x0000_s2055" type="#_x0000_t136" style="position:absolute;left:0;text-align:left;margin-left:0;margin-top:0;width:547.2pt;height:82.05pt;rotation:315;z-index:-25165260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354268">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-1072967</wp:posOffset>
          </wp:positionH>
          <wp:positionV relativeFrom="paragraph">
            <wp:posOffset>-449906</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076BC0" w:rsidP="007263BB">
    <w:pPr>
      <w:pStyle w:val="Encabezado"/>
      <w:jc w:val="right"/>
      <w:rPr>
        <w:rFonts w:ascii="Arial" w:hAnsi="Arial" w:cs="Arial"/>
        <w:sz w:val="20"/>
        <w:szCs w:val="20"/>
      </w:rPr>
    </w:pPr>
  </w:p>
  <w:p w:rsidR="00D758BE" w:rsidRDefault="00076BC0"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w:t>
    </w:r>
    <w:r w:rsidR="00057319" w:rsidRPr="00563D0F">
      <w:rPr>
        <w:rFonts w:ascii="Palatino Linotype" w:hAnsi="Palatino Linotype" w:cs="Arial"/>
        <w:b/>
        <w:sz w:val="20"/>
        <w:szCs w:val="20"/>
      </w:rPr>
      <w:t xml:space="preserve"> </w:t>
    </w:r>
  </w:p>
  <w:p w:rsidR="00E203E1"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E203E1">
      <w:rPr>
        <w:rFonts w:ascii="Palatino Linotype" w:hAnsi="Palatino Linotype" w:cs="Arial"/>
        <w:b/>
        <w:sz w:val="20"/>
        <w:szCs w:val="20"/>
      </w:rPr>
      <w:t>4731</w:t>
    </w:r>
    <w:r w:rsidR="00897E24" w:rsidRPr="00897E24">
      <w:rPr>
        <w:rFonts w:ascii="Palatino Linotype" w:hAnsi="Palatino Linotype" w:cs="Arial"/>
        <w:b/>
        <w:sz w:val="20"/>
        <w:szCs w:val="20"/>
      </w:rPr>
      <w:t>/INFOEM/IP/RR/201</w:t>
    </w:r>
    <w:r w:rsidR="00143624">
      <w:rPr>
        <w:rFonts w:ascii="Palatino Linotype" w:hAnsi="Palatino Linotype" w:cs="Arial"/>
        <w:b/>
        <w:sz w:val="20"/>
        <w:szCs w:val="20"/>
      </w:rPr>
      <w:t>8</w:t>
    </w:r>
    <w:r w:rsidR="00E203E1">
      <w:rPr>
        <w:rFonts w:ascii="Palatino Linotype" w:hAnsi="Palatino Linotype" w:cs="Arial"/>
        <w:b/>
        <w:sz w:val="20"/>
        <w:szCs w:val="20"/>
      </w:rPr>
      <w:t xml:space="preserve"> Y </w:t>
    </w:r>
  </w:p>
  <w:p w:rsidR="00E203E1" w:rsidRDefault="00E203E1" w:rsidP="00EE5FB0">
    <w:pPr>
      <w:pStyle w:val="Encabezado"/>
      <w:jc w:val="right"/>
      <w:rPr>
        <w:rFonts w:ascii="Palatino Linotype" w:hAnsi="Palatino Linotype" w:cs="Arial"/>
        <w:b/>
        <w:sz w:val="20"/>
        <w:szCs w:val="20"/>
      </w:rPr>
    </w:pPr>
    <w:r>
      <w:rPr>
        <w:rFonts w:ascii="Palatino Linotype" w:hAnsi="Palatino Linotype" w:cs="Arial"/>
        <w:b/>
        <w:sz w:val="20"/>
        <w:szCs w:val="20"/>
      </w:rPr>
      <w:t>04732</w:t>
    </w:r>
    <w:r w:rsidRPr="00897E24">
      <w:rPr>
        <w:rFonts w:ascii="Palatino Linotype" w:hAnsi="Palatino Linotype" w:cs="Arial"/>
        <w:b/>
        <w:sz w:val="20"/>
        <w:szCs w:val="20"/>
      </w:rPr>
      <w:t>/INFOEM/IP/RR/201</w:t>
    </w:r>
    <w:r>
      <w:rPr>
        <w:rFonts w:ascii="Palatino Linotype" w:hAnsi="Palatino Linotype" w:cs="Arial"/>
        <w:b/>
        <w:sz w:val="20"/>
        <w:szCs w:val="20"/>
      </w:rPr>
      <w:t>8</w:t>
    </w:r>
  </w:p>
  <w:p w:rsidR="00EE5FB0" w:rsidRPr="00563D0F" w:rsidRDefault="00E203E1" w:rsidP="00EE5FB0">
    <w:pPr>
      <w:pStyle w:val="Encabezado"/>
      <w:jc w:val="right"/>
      <w:rPr>
        <w:rFonts w:ascii="Palatino Linotype" w:hAnsi="Palatino Linotype" w:cs="Arial"/>
        <w:b/>
        <w:sz w:val="20"/>
        <w:szCs w:val="20"/>
      </w:rPr>
    </w:pPr>
    <w:r>
      <w:rPr>
        <w:rFonts w:ascii="Palatino Linotype" w:hAnsi="Palatino Linotype" w:cs="Arial"/>
        <w:b/>
        <w:sz w:val="20"/>
        <w:szCs w:val="20"/>
      </w:rPr>
      <w:t>ACUMULADOS</w:t>
    </w:r>
    <w:r w:rsidR="00143624">
      <w:rPr>
        <w:rFonts w:ascii="Palatino Linotype" w:hAnsi="Palatino Linotype" w:cs="Arial"/>
        <w:b/>
        <w:sz w:val="20"/>
        <w:szCs w:val="20"/>
      </w:rPr>
      <w:t>.</w:t>
    </w:r>
  </w:p>
  <w:p w:rsidR="00D758BE" w:rsidRDefault="00076BC0" w:rsidP="007263BB">
    <w:pPr>
      <w:pStyle w:val="Encabezado"/>
      <w:jc w:val="right"/>
      <w:rPr>
        <w:rFonts w:ascii="Palatino Linotype" w:hAnsi="Palatino Linotype" w:cs="Arial"/>
        <w:sz w:val="20"/>
        <w:szCs w:val="20"/>
      </w:rPr>
    </w:pPr>
  </w:p>
  <w:p w:rsidR="00233AB2" w:rsidRDefault="00076BC0"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076B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3" o:spid="_x0000_s2053" type="#_x0000_t136" style="position:absolute;margin-left:0;margin-top:0;width:547.2pt;height:82.05pt;rotation:315;z-index:-25165670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0595"/>
    <w:rsid w:val="0002132C"/>
    <w:rsid w:val="00022E70"/>
    <w:rsid w:val="00030212"/>
    <w:rsid w:val="00032EE8"/>
    <w:rsid w:val="00045788"/>
    <w:rsid w:val="00047E96"/>
    <w:rsid w:val="00051C17"/>
    <w:rsid w:val="00053654"/>
    <w:rsid w:val="00057319"/>
    <w:rsid w:val="000607BA"/>
    <w:rsid w:val="000632F3"/>
    <w:rsid w:val="000642D8"/>
    <w:rsid w:val="000646F9"/>
    <w:rsid w:val="000714F2"/>
    <w:rsid w:val="000740BF"/>
    <w:rsid w:val="00076BC0"/>
    <w:rsid w:val="00085D13"/>
    <w:rsid w:val="000959AD"/>
    <w:rsid w:val="000A05B3"/>
    <w:rsid w:val="000A05F9"/>
    <w:rsid w:val="000A1E83"/>
    <w:rsid w:val="000A1F05"/>
    <w:rsid w:val="000A3415"/>
    <w:rsid w:val="000A52F5"/>
    <w:rsid w:val="000D45AD"/>
    <w:rsid w:val="001038D5"/>
    <w:rsid w:val="00112E3B"/>
    <w:rsid w:val="001209C9"/>
    <w:rsid w:val="001229EC"/>
    <w:rsid w:val="001248B9"/>
    <w:rsid w:val="001263E9"/>
    <w:rsid w:val="001360A5"/>
    <w:rsid w:val="001412C3"/>
    <w:rsid w:val="00143624"/>
    <w:rsid w:val="0015034F"/>
    <w:rsid w:val="001521B7"/>
    <w:rsid w:val="001528D6"/>
    <w:rsid w:val="00155046"/>
    <w:rsid w:val="00166985"/>
    <w:rsid w:val="00172B32"/>
    <w:rsid w:val="00173C5B"/>
    <w:rsid w:val="00176A16"/>
    <w:rsid w:val="001822F4"/>
    <w:rsid w:val="00186F6F"/>
    <w:rsid w:val="00191236"/>
    <w:rsid w:val="00196D0F"/>
    <w:rsid w:val="001A3B49"/>
    <w:rsid w:val="001A7C78"/>
    <w:rsid w:val="001B0084"/>
    <w:rsid w:val="001B218F"/>
    <w:rsid w:val="001B271B"/>
    <w:rsid w:val="001C151C"/>
    <w:rsid w:val="001C3682"/>
    <w:rsid w:val="001C7791"/>
    <w:rsid w:val="001D1536"/>
    <w:rsid w:val="001D7FBC"/>
    <w:rsid w:val="001F0F67"/>
    <w:rsid w:val="001F622E"/>
    <w:rsid w:val="001F686D"/>
    <w:rsid w:val="0020784D"/>
    <w:rsid w:val="00207AC4"/>
    <w:rsid w:val="00211214"/>
    <w:rsid w:val="00225005"/>
    <w:rsid w:val="00235A94"/>
    <w:rsid w:val="00253C2D"/>
    <w:rsid w:val="002813BC"/>
    <w:rsid w:val="002852F2"/>
    <w:rsid w:val="002901BE"/>
    <w:rsid w:val="00292D40"/>
    <w:rsid w:val="002A5ADD"/>
    <w:rsid w:val="002A5F7A"/>
    <w:rsid w:val="002A6359"/>
    <w:rsid w:val="002B0D5A"/>
    <w:rsid w:val="002D3ACC"/>
    <w:rsid w:val="002D7AFB"/>
    <w:rsid w:val="002E2DB1"/>
    <w:rsid w:val="002E37F8"/>
    <w:rsid w:val="002E6C25"/>
    <w:rsid w:val="002E6F99"/>
    <w:rsid w:val="002F1845"/>
    <w:rsid w:val="0030480F"/>
    <w:rsid w:val="00314438"/>
    <w:rsid w:val="00322324"/>
    <w:rsid w:val="00322F60"/>
    <w:rsid w:val="0033414C"/>
    <w:rsid w:val="00334201"/>
    <w:rsid w:val="00335C19"/>
    <w:rsid w:val="00351122"/>
    <w:rsid w:val="00354268"/>
    <w:rsid w:val="00360393"/>
    <w:rsid w:val="0036408D"/>
    <w:rsid w:val="00374C91"/>
    <w:rsid w:val="0038642F"/>
    <w:rsid w:val="003A209F"/>
    <w:rsid w:val="003A25DC"/>
    <w:rsid w:val="003A4486"/>
    <w:rsid w:val="003C500B"/>
    <w:rsid w:val="003C7D1D"/>
    <w:rsid w:val="003D1840"/>
    <w:rsid w:val="003F233C"/>
    <w:rsid w:val="003F2FD3"/>
    <w:rsid w:val="00404D77"/>
    <w:rsid w:val="00422629"/>
    <w:rsid w:val="0042332B"/>
    <w:rsid w:val="00427B9A"/>
    <w:rsid w:val="00456467"/>
    <w:rsid w:val="0045723C"/>
    <w:rsid w:val="00462FE0"/>
    <w:rsid w:val="00465786"/>
    <w:rsid w:val="00471402"/>
    <w:rsid w:val="00476CF0"/>
    <w:rsid w:val="00477E5C"/>
    <w:rsid w:val="00477FDA"/>
    <w:rsid w:val="00480D27"/>
    <w:rsid w:val="0049578E"/>
    <w:rsid w:val="004B391C"/>
    <w:rsid w:val="004B6824"/>
    <w:rsid w:val="004E0B4E"/>
    <w:rsid w:val="004F774F"/>
    <w:rsid w:val="00505F5A"/>
    <w:rsid w:val="00531DBB"/>
    <w:rsid w:val="00537CCB"/>
    <w:rsid w:val="00543E3E"/>
    <w:rsid w:val="005549ED"/>
    <w:rsid w:val="00560182"/>
    <w:rsid w:val="00572618"/>
    <w:rsid w:val="005777C1"/>
    <w:rsid w:val="00583D84"/>
    <w:rsid w:val="00592D7B"/>
    <w:rsid w:val="005B5D7C"/>
    <w:rsid w:val="005B7B66"/>
    <w:rsid w:val="005D066B"/>
    <w:rsid w:val="005D64FA"/>
    <w:rsid w:val="005E2A98"/>
    <w:rsid w:val="005F4C0C"/>
    <w:rsid w:val="006060EE"/>
    <w:rsid w:val="006214D7"/>
    <w:rsid w:val="00624FDE"/>
    <w:rsid w:val="00632026"/>
    <w:rsid w:val="00644A98"/>
    <w:rsid w:val="00650509"/>
    <w:rsid w:val="00650DC2"/>
    <w:rsid w:val="00652576"/>
    <w:rsid w:val="00661C85"/>
    <w:rsid w:val="0066206E"/>
    <w:rsid w:val="006646E5"/>
    <w:rsid w:val="0067524F"/>
    <w:rsid w:val="006753CB"/>
    <w:rsid w:val="00676786"/>
    <w:rsid w:val="0067739E"/>
    <w:rsid w:val="0068557C"/>
    <w:rsid w:val="00691E2E"/>
    <w:rsid w:val="006A142E"/>
    <w:rsid w:val="006A2894"/>
    <w:rsid w:val="006A3897"/>
    <w:rsid w:val="006A6AF4"/>
    <w:rsid w:val="006B3700"/>
    <w:rsid w:val="006B53DC"/>
    <w:rsid w:val="006B56E1"/>
    <w:rsid w:val="006C3430"/>
    <w:rsid w:val="006C34A1"/>
    <w:rsid w:val="006D71ED"/>
    <w:rsid w:val="006E048C"/>
    <w:rsid w:val="006E7493"/>
    <w:rsid w:val="006F346D"/>
    <w:rsid w:val="006F4B25"/>
    <w:rsid w:val="0070208A"/>
    <w:rsid w:val="00713C13"/>
    <w:rsid w:val="00714A12"/>
    <w:rsid w:val="0071686D"/>
    <w:rsid w:val="007238D6"/>
    <w:rsid w:val="007417CA"/>
    <w:rsid w:val="00741887"/>
    <w:rsid w:val="007548FD"/>
    <w:rsid w:val="007617F6"/>
    <w:rsid w:val="007676C8"/>
    <w:rsid w:val="00770853"/>
    <w:rsid w:val="0077712B"/>
    <w:rsid w:val="007841E7"/>
    <w:rsid w:val="007928CC"/>
    <w:rsid w:val="007B48DE"/>
    <w:rsid w:val="007B6EE5"/>
    <w:rsid w:val="007D139D"/>
    <w:rsid w:val="007D67CE"/>
    <w:rsid w:val="007E4CD0"/>
    <w:rsid w:val="007E6099"/>
    <w:rsid w:val="007E61A3"/>
    <w:rsid w:val="007F65BD"/>
    <w:rsid w:val="00817AA2"/>
    <w:rsid w:val="00820105"/>
    <w:rsid w:val="00836D44"/>
    <w:rsid w:val="00845226"/>
    <w:rsid w:val="0084741F"/>
    <w:rsid w:val="00852954"/>
    <w:rsid w:val="00891A8B"/>
    <w:rsid w:val="00892DF4"/>
    <w:rsid w:val="00897E24"/>
    <w:rsid w:val="008A13ED"/>
    <w:rsid w:val="008A261D"/>
    <w:rsid w:val="008A4206"/>
    <w:rsid w:val="008B691F"/>
    <w:rsid w:val="008C41DD"/>
    <w:rsid w:val="008C4482"/>
    <w:rsid w:val="008C789B"/>
    <w:rsid w:val="008D3AF3"/>
    <w:rsid w:val="008E5CE9"/>
    <w:rsid w:val="00901CBD"/>
    <w:rsid w:val="00907451"/>
    <w:rsid w:val="00921EAB"/>
    <w:rsid w:val="00952AE7"/>
    <w:rsid w:val="00956FEF"/>
    <w:rsid w:val="009611D3"/>
    <w:rsid w:val="009672DF"/>
    <w:rsid w:val="0098044D"/>
    <w:rsid w:val="009818E5"/>
    <w:rsid w:val="00984FB3"/>
    <w:rsid w:val="0098633B"/>
    <w:rsid w:val="009874D7"/>
    <w:rsid w:val="00995D7C"/>
    <w:rsid w:val="009A29EF"/>
    <w:rsid w:val="009A32CE"/>
    <w:rsid w:val="009A4C57"/>
    <w:rsid w:val="009A5E4A"/>
    <w:rsid w:val="009B4BAC"/>
    <w:rsid w:val="009C273E"/>
    <w:rsid w:val="009D4A3C"/>
    <w:rsid w:val="009F069C"/>
    <w:rsid w:val="009F2FF9"/>
    <w:rsid w:val="00A01E1E"/>
    <w:rsid w:val="00A074F6"/>
    <w:rsid w:val="00A1161D"/>
    <w:rsid w:val="00A21005"/>
    <w:rsid w:val="00A2363A"/>
    <w:rsid w:val="00A36454"/>
    <w:rsid w:val="00A44967"/>
    <w:rsid w:val="00A458B3"/>
    <w:rsid w:val="00A46685"/>
    <w:rsid w:val="00A60D55"/>
    <w:rsid w:val="00A65F94"/>
    <w:rsid w:val="00A70F6F"/>
    <w:rsid w:val="00A768A1"/>
    <w:rsid w:val="00A85E6E"/>
    <w:rsid w:val="00A935F3"/>
    <w:rsid w:val="00A964EF"/>
    <w:rsid w:val="00AC1290"/>
    <w:rsid w:val="00AC5E73"/>
    <w:rsid w:val="00AD0389"/>
    <w:rsid w:val="00AD2489"/>
    <w:rsid w:val="00AD24B7"/>
    <w:rsid w:val="00AE35F2"/>
    <w:rsid w:val="00B02DEB"/>
    <w:rsid w:val="00B0601C"/>
    <w:rsid w:val="00B23B76"/>
    <w:rsid w:val="00B23C9B"/>
    <w:rsid w:val="00B2599D"/>
    <w:rsid w:val="00B40F71"/>
    <w:rsid w:val="00B547F4"/>
    <w:rsid w:val="00B56F36"/>
    <w:rsid w:val="00B57FC7"/>
    <w:rsid w:val="00B62AEE"/>
    <w:rsid w:val="00B63624"/>
    <w:rsid w:val="00B64C32"/>
    <w:rsid w:val="00B675A2"/>
    <w:rsid w:val="00B87693"/>
    <w:rsid w:val="00B95ED4"/>
    <w:rsid w:val="00BA0E4D"/>
    <w:rsid w:val="00BA36B1"/>
    <w:rsid w:val="00BC2372"/>
    <w:rsid w:val="00BE3321"/>
    <w:rsid w:val="00BF12D9"/>
    <w:rsid w:val="00BF1C0D"/>
    <w:rsid w:val="00C04B7C"/>
    <w:rsid w:val="00C05880"/>
    <w:rsid w:val="00C07684"/>
    <w:rsid w:val="00C07F03"/>
    <w:rsid w:val="00C168C0"/>
    <w:rsid w:val="00C222AF"/>
    <w:rsid w:val="00C25892"/>
    <w:rsid w:val="00C44E15"/>
    <w:rsid w:val="00C5428A"/>
    <w:rsid w:val="00C56623"/>
    <w:rsid w:val="00C57674"/>
    <w:rsid w:val="00C618CD"/>
    <w:rsid w:val="00C61C9F"/>
    <w:rsid w:val="00C64FDB"/>
    <w:rsid w:val="00C72D86"/>
    <w:rsid w:val="00C7542E"/>
    <w:rsid w:val="00C8657B"/>
    <w:rsid w:val="00C976AC"/>
    <w:rsid w:val="00CA1B5F"/>
    <w:rsid w:val="00CA2A54"/>
    <w:rsid w:val="00CA4B40"/>
    <w:rsid w:val="00CA6CDC"/>
    <w:rsid w:val="00CB19D1"/>
    <w:rsid w:val="00CC1202"/>
    <w:rsid w:val="00CC2D22"/>
    <w:rsid w:val="00CC5CDC"/>
    <w:rsid w:val="00CF0BAC"/>
    <w:rsid w:val="00CF29D2"/>
    <w:rsid w:val="00D17DDA"/>
    <w:rsid w:val="00D24225"/>
    <w:rsid w:val="00D32E4F"/>
    <w:rsid w:val="00D33D3B"/>
    <w:rsid w:val="00D35D41"/>
    <w:rsid w:val="00D36E74"/>
    <w:rsid w:val="00D54CE0"/>
    <w:rsid w:val="00D550AF"/>
    <w:rsid w:val="00D5593C"/>
    <w:rsid w:val="00D57305"/>
    <w:rsid w:val="00D574AC"/>
    <w:rsid w:val="00D677F6"/>
    <w:rsid w:val="00D75967"/>
    <w:rsid w:val="00D75EDA"/>
    <w:rsid w:val="00D8616C"/>
    <w:rsid w:val="00DB70E3"/>
    <w:rsid w:val="00DC32F9"/>
    <w:rsid w:val="00DC752B"/>
    <w:rsid w:val="00DE4075"/>
    <w:rsid w:val="00DE6C63"/>
    <w:rsid w:val="00DF27E6"/>
    <w:rsid w:val="00DF5F73"/>
    <w:rsid w:val="00E00483"/>
    <w:rsid w:val="00E20299"/>
    <w:rsid w:val="00E203E1"/>
    <w:rsid w:val="00E20BB6"/>
    <w:rsid w:val="00E30FFD"/>
    <w:rsid w:val="00E34CDC"/>
    <w:rsid w:val="00E35D2D"/>
    <w:rsid w:val="00E37E64"/>
    <w:rsid w:val="00E56FC2"/>
    <w:rsid w:val="00E66D60"/>
    <w:rsid w:val="00E76358"/>
    <w:rsid w:val="00E91BA0"/>
    <w:rsid w:val="00E920D4"/>
    <w:rsid w:val="00E96D92"/>
    <w:rsid w:val="00E971BD"/>
    <w:rsid w:val="00ED73E4"/>
    <w:rsid w:val="00EE39C2"/>
    <w:rsid w:val="00EF6155"/>
    <w:rsid w:val="00F06D48"/>
    <w:rsid w:val="00F152E8"/>
    <w:rsid w:val="00F27B85"/>
    <w:rsid w:val="00F466F2"/>
    <w:rsid w:val="00F47DB4"/>
    <w:rsid w:val="00F508F8"/>
    <w:rsid w:val="00F63067"/>
    <w:rsid w:val="00F67414"/>
    <w:rsid w:val="00F71053"/>
    <w:rsid w:val="00F76B05"/>
    <w:rsid w:val="00F77416"/>
    <w:rsid w:val="00F81F58"/>
    <w:rsid w:val="00F86364"/>
    <w:rsid w:val="00F86E78"/>
    <w:rsid w:val="00F9526D"/>
    <w:rsid w:val="00F97255"/>
    <w:rsid w:val="00FA35CD"/>
    <w:rsid w:val="00FB2497"/>
    <w:rsid w:val="00FC2D75"/>
    <w:rsid w:val="00FC759F"/>
    <w:rsid w:val="00FD0CA6"/>
    <w:rsid w:val="00FD157E"/>
    <w:rsid w:val="00FD3336"/>
    <w:rsid w:val="00FD5DEC"/>
    <w:rsid w:val="00FE3B61"/>
    <w:rsid w:val="00FE6E9B"/>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24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24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AD24B7"/>
    <w:rPr>
      <w:vertAlign w:val="superscript"/>
    </w:rPr>
  </w:style>
  <w:style w:type="character" w:styleId="Hipervnculo">
    <w:name w:val="Hyperlink"/>
    <w:basedOn w:val="Fuentedeprrafopredeter"/>
    <w:uiPriority w:val="99"/>
    <w:unhideWhenUsed/>
    <w:rsid w:val="00D7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33D09F-2442-4F3B-A603-B9EAEC8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1006</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2019-03-05T19:40:00Z</cp:lastPrinted>
  <dcterms:created xsi:type="dcterms:W3CDTF">2019-02-28T18:31:00Z</dcterms:created>
  <dcterms:modified xsi:type="dcterms:W3CDTF">2019-03-15T01:04:00Z</dcterms:modified>
</cp:coreProperties>
</file>